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A1D8" w14:textId="1AEC14FA" w:rsidR="00F60F8B" w:rsidRDefault="00F60F8B"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00226C">
        <w:rPr>
          <w:rFonts w:ascii="Arial" w:eastAsiaTheme="minorEastAsia" w:hAnsi="Arial" w:cs="Arial"/>
          <w:b/>
          <w:sz w:val="24"/>
          <w:szCs w:val="24"/>
          <w:lang w:eastAsia="zh-CN"/>
        </w:rPr>
        <w:t>7</w:t>
      </w:r>
      <w:r w:rsidR="0000226C">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21CF">
        <w:rPr>
          <w:rFonts w:ascii="Arial" w:eastAsiaTheme="minorEastAsia" w:hAnsi="Arial" w:cs="Arial"/>
          <w:b/>
          <w:sz w:val="24"/>
          <w:szCs w:val="24"/>
          <w:lang w:eastAsia="zh-CN"/>
        </w:rPr>
        <w:t xml:space="preserve"> </w:t>
      </w:r>
      <w:r w:rsidR="00CC21CF" w:rsidRPr="00CC21CF">
        <w:rPr>
          <w:rFonts w:ascii="Arial" w:eastAsiaTheme="minorEastAsia" w:hAnsi="Arial" w:cs="Arial"/>
          <w:b/>
          <w:sz w:val="24"/>
          <w:szCs w:val="24"/>
          <w:lang w:eastAsia="zh-CN"/>
        </w:rPr>
        <w:t>R4-25</w:t>
      </w:r>
      <w:r w:rsidR="00A8326D">
        <w:rPr>
          <w:rFonts w:ascii="Arial" w:eastAsiaTheme="minorEastAsia" w:hAnsi="Arial" w:cs="Arial"/>
          <w:b/>
          <w:sz w:val="24"/>
          <w:szCs w:val="24"/>
          <w:lang w:eastAsia="zh-CN"/>
        </w:rPr>
        <w:t>20754</w:t>
      </w:r>
    </w:p>
    <w:p w14:paraId="452EB323" w14:textId="2B1F6EBC" w:rsidR="00F60F8B" w:rsidRDefault="0000226C"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Dallas, USA, </w:t>
      </w:r>
      <w:r w:rsidR="00F60F8B">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F60F8B" w:rsidRPr="00F7257A">
        <w:rPr>
          <w:rFonts w:ascii="Arial" w:eastAsiaTheme="minorEastAsia" w:hAnsi="Arial" w:cs="Arial"/>
          <w:b/>
          <w:sz w:val="24"/>
          <w:szCs w:val="24"/>
          <w:vertAlign w:val="superscript"/>
          <w:lang w:eastAsia="zh-CN"/>
        </w:rPr>
        <w:t>th</w:t>
      </w:r>
      <w:r w:rsidR="00F60F8B">
        <w:rPr>
          <w:rFonts w:ascii="Arial" w:eastAsiaTheme="minorEastAsia" w:hAnsi="Arial" w:cs="Arial"/>
          <w:b/>
          <w:sz w:val="24"/>
          <w:szCs w:val="24"/>
          <w:lang w:eastAsia="zh-CN"/>
        </w:rPr>
        <w:t xml:space="preserve"> </w:t>
      </w:r>
      <w:r w:rsidR="00F60F8B">
        <w:rPr>
          <w:rFonts w:ascii="Arial" w:hAnsi="Arial"/>
          <w:b/>
          <w:sz w:val="24"/>
          <w:szCs w:val="24"/>
          <w:lang w:eastAsia="zh-CN"/>
        </w:rPr>
        <w:t xml:space="preserve">– </w:t>
      </w:r>
      <w:r>
        <w:rPr>
          <w:rFonts w:ascii="Arial" w:hAnsi="Arial"/>
          <w:b/>
          <w:sz w:val="24"/>
          <w:szCs w:val="24"/>
          <w:lang w:eastAsia="zh-CN"/>
        </w:rPr>
        <w:t>21</w:t>
      </w:r>
      <w:r w:rsidRPr="0000226C">
        <w:rPr>
          <w:rFonts w:ascii="Arial" w:hAnsi="Arial"/>
          <w:b/>
          <w:sz w:val="24"/>
          <w:szCs w:val="24"/>
          <w:vertAlign w:val="superscript"/>
          <w:lang w:eastAsia="zh-CN"/>
        </w:rPr>
        <w:t>st</w:t>
      </w:r>
      <w:r>
        <w:rPr>
          <w:rFonts w:ascii="Arial" w:hAnsi="Arial"/>
          <w:b/>
          <w:sz w:val="24"/>
          <w:szCs w:val="24"/>
          <w:lang w:eastAsia="zh-CN"/>
        </w:rPr>
        <w:t xml:space="preserve"> November</w:t>
      </w:r>
      <w:r w:rsidR="00F60F8B">
        <w:rPr>
          <w:rFonts w:ascii="Arial" w:hAnsi="Arial"/>
          <w:b/>
          <w:sz w:val="24"/>
          <w:szCs w:val="24"/>
          <w:lang w:eastAsia="zh-CN"/>
        </w:rPr>
        <w:t>, 202</w:t>
      </w:r>
      <w:r w:rsidR="00A1257F">
        <w:rPr>
          <w:rFonts w:ascii="Arial" w:hAnsi="Arial"/>
          <w:b/>
          <w:sz w:val="24"/>
          <w:szCs w:val="24"/>
          <w:lang w:eastAsia="zh-CN"/>
        </w:rPr>
        <w:t>5</w:t>
      </w:r>
    </w:p>
    <w:p w14:paraId="2B9B0D20" w14:textId="77777777" w:rsidR="00F60F8B" w:rsidRPr="00A1257F" w:rsidRDefault="00F60F8B" w:rsidP="00F60F8B">
      <w:pPr>
        <w:spacing w:after="120"/>
        <w:ind w:left="1985" w:hanging="1985"/>
        <w:rPr>
          <w:rFonts w:ascii="Arial" w:eastAsia="MS Mincho" w:hAnsi="Arial" w:cs="Arial"/>
          <w:b/>
          <w:sz w:val="22"/>
        </w:rPr>
      </w:pPr>
    </w:p>
    <w:p w14:paraId="76533C12" w14:textId="41E3B5A3"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A1257F">
        <w:rPr>
          <w:rFonts w:ascii="Arial" w:eastAsiaTheme="minorEastAsia" w:hAnsi="Arial" w:cs="Arial"/>
          <w:color w:val="000000"/>
          <w:sz w:val="22"/>
          <w:lang w:eastAsia="zh-CN"/>
        </w:rPr>
        <w:t>7.</w:t>
      </w:r>
      <w:r>
        <w:rPr>
          <w:rFonts w:ascii="Arial" w:eastAsiaTheme="minorEastAsia" w:hAnsi="Arial" w:cs="Arial"/>
          <w:color w:val="000000"/>
          <w:sz w:val="22"/>
          <w:lang w:eastAsia="zh-CN"/>
        </w:rPr>
        <w:t>8.</w:t>
      </w:r>
      <w:r w:rsidR="00193582">
        <w:rPr>
          <w:rFonts w:ascii="Arial" w:eastAsiaTheme="minorEastAsia" w:hAnsi="Arial" w:cs="Arial"/>
          <w:color w:val="000000"/>
          <w:sz w:val="22"/>
          <w:lang w:eastAsia="zh-CN"/>
        </w:rPr>
        <w:t>3</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689CE39A"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_Hlk174091763"/>
      <w:r w:rsidR="00F917C0">
        <w:rPr>
          <w:rFonts w:ascii="Arial" w:hAnsi="Arial" w:cs="Arial"/>
          <w:sz w:val="22"/>
        </w:rPr>
        <w:t>Views o</w:t>
      </w:r>
      <w:r w:rsidR="00826383">
        <w:rPr>
          <w:rFonts w:ascii="Arial" w:hAnsi="Arial" w:cs="Arial"/>
          <w:sz w:val="22"/>
        </w:rPr>
        <w:t xml:space="preserve">n </w:t>
      </w:r>
      <w:r w:rsidR="00F60F8B">
        <w:rPr>
          <w:rFonts w:ascii="Arial" w:hAnsi="Arial" w:cs="Arial"/>
          <w:sz w:val="22"/>
        </w:rPr>
        <w:t xml:space="preserve">UE RF </w:t>
      </w:r>
      <w:r w:rsidR="00A1257F">
        <w:rPr>
          <w:rFonts w:ascii="Arial" w:hAnsi="Arial" w:cs="Arial"/>
          <w:sz w:val="22"/>
        </w:rPr>
        <w:t>requirements for LB</w:t>
      </w:r>
      <w:r w:rsidR="005245B0">
        <w:rPr>
          <w:rFonts w:ascii="Arial" w:hAnsi="Arial" w:cs="Arial"/>
          <w:sz w:val="22"/>
        </w:rPr>
        <w:t xml:space="preserve"> CA</w:t>
      </w:r>
      <w:r w:rsidR="00A1257F">
        <w:rPr>
          <w:rFonts w:ascii="Arial" w:hAnsi="Arial" w:cs="Arial"/>
          <w:sz w:val="22"/>
        </w:rPr>
        <w:t xml:space="preserve"> switching</w:t>
      </w:r>
      <w:bookmarkEnd w:id="0"/>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15CCEB5" w14:textId="2576F35C" w:rsidR="00BE4C6C" w:rsidRPr="00BE4C6C" w:rsidRDefault="00A1257F" w:rsidP="0056183D">
      <w:pPr>
        <w:jc w:val="left"/>
        <w:rPr>
          <w:rFonts w:eastAsiaTheme="minorEastAsia"/>
          <w:lang w:eastAsia="zh-CN"/>
        </w:rPr>
      </w:pPr>
      <w:r w:rsidRPr="00C26E2A">
        <w:rPr>
          <w:rFonts w:eastAsiaTheme="minorEastAsia"/>
          <w:lang w:val="sv-SE" w:eastAsia="zh-CN"/>
        </w:rPr>
        <w:t>At the la</w:t>
      </w:r>
      <w:r w:rsidR="00F555B8">
        <w:rPr>
          <w:rFonts w:eastAsiaTheme="minorEastAsia"/>
          <w:lang w:val="sv-SE" w:eastAsia="zh-CN"/>
        </w:rPr>
        <w:t>s</w:t>
      </w:r>
      <w:r w:rsidRPr="00C26E2A">
        <w:rPr>
          <w:rFonts w:eastAsiaTheme="minorEastAsia"/>
          <w:lang w:val="sv-SE" w:eastAsia="zh-CN"/>
        </w:rPr>
        <w:t>t RAN plenary meeting</w:t>
      </w:r>
      <w:r w:rsidR="006C35F8" w:rsidRPr="00C26E2A">
        <w:rPr>
          <w:rFonts w:eastAsiaTheme="minorEastAsia"/>
          <w:lang w:val="sv-SE" w:eastAsia="zh-CN"/>
        </w:rPr>
        <w:t>,</w:t>
      </w:r>
      <w:r w:rsidRPr="00C26E2A">
        <w:rPr>
          <w:rFonts w:eastAsiaTheme="minorEastAsia"/>
          <w:lang w:val="sv-SE" w:eastAsia="zh-CN"/>
        </w:rPr>
        <w:t xml:space="preserve"> RAN#10</w:t>
      </w:r>
      <w:r w:rsidR="00C26E2A" w:rsidRPr="00C26E2A">
        <w:rPr>
          <w:rFonts w:eastAsiaTheme="minorEastAsia"/>
          <w:lang w:val="sv-SE" w:eastAsia="zh-CN"/>
        </w:rPr>
        <w:t>9</w:t>
      </w:r>
      <w:r w:rsidRPr="00C26E2A">
        <w:rPr>
          <w:rFonts w:eastAsiaTheme="minorEastAsia"/>
          <w:lang w:val="sv-SE" w:eastAsia="zh-CN"/>
        </w:rPr>
        <w:t xml:space="preserve">, a </w:t>
      </w:r>
      <w:r w:rsidR="00C26E2A" w:rsidRPr="00C26E2A">
        <w:rPr>
          <w:rFonts w:eastAsiaTheme="minorEastAsia"/>
          <w:lang w:val="sv-SE" w:eastAsia="zh-CN"/>
        </w:rPr>
        <w:t>p</w:t>
      </w:r>
      <w:r w:rsidR="00C26E2A">
        <w:rPr>
          <w:rFonts w:eastAsiaTheme="minorEastAsia"/>
          <w:lang w:val="sv-SE" w:eastAsia="zh-CN"/>
        </w:rPr>
        <w:t>ackage of Rel-20 RAN4-led Work Items (WIs) was approved including a WI on e</w:t>
      </w:r>
      <w:r w:rsidR="00C26E2A" w:rsidRPr="00C26E2A">
        <w:rPr>
          <w:rFonts w:eastAsiaTheme="minorEastAsia"/>
          <w:lang w:val="sv-SE" w:eastAsia="zh-CN"/>
        </w:rPr>
        <w:t xml:space="preserve">nhancement of low NR band </w:t>
      </w:r>
      <w:r w:rsidR="00A40FCB">
        <w:rPr>
          <w:rFonts w:eastAsiaTheme="minorEastAsia"/>
          <w:lang w:val="sv-SE" w:eastAsia="zh-CN"/>
        </w:rPr>
        <w:t xml:space="preserve">(LB) </w:t>
      </w:r>
      <w:r w:rsidR="00C26E2A" w:rsidRPr="00C26E2A">
        <w:rPr>
          <w:rFonts w:eastAsiaTheme="minorEastAsia"/>
          <w:lang w:val="sv-SE" w:eastAsia="zh-CN"/>
        </w:rPr>
        <w:t xml:space="preserve">carrier aggregation </w:t>
      </w:r>
      <w:r w:rsidR="00A40FCB">
        <w:rPr>
          <w:rFonts w:eastAsiaTheme="minorEastAsia"/>
          <w:lang w:val="sv-SE" w:eastAsia="zh-CN"/>
        </w:rPr>
        <w:t xml:space="preserve">(CA) </w:t>
      </w:r>
      <w:r w:rsidR="00C26E2A" w:rsidRPr="00C26E2A">
        <w:rPr>
          <w:rFonts w:eastAsiaTheme="minorEastAsia"/>
          <w:lang w:val="sv-SE" w:eastAsia="zh-CN"/>
        </w:rPr>
        <w:t>via switching</w:t>
      </w:r>
      <w:r w:rsidR="00F555B8">
        <w:rPr>
          <w:rFonts w:eastAsiaTheme="minorEastAsia"/>
          <w:lang w:val="sv-SE" w:eastAsia="zh-CN"/>
        </w:rPr>
        <w:t xml:space="preserve"> </w:t>
      </w:r>
      <w:r w:rsidR="00515412">
        <w:rPr>
          <w:rFonts w:eastAsiaTheme="minorEastAsia"/>
          <w:lang w:eastAsia="zh-CN"/>
        </w:rPr>
        <w:t>[1].</w:t>
      </w:r>
      <w:r w:rsidR="00BE4C6C">
        <w:rPr>
          <w:rFonts w:eastAsiaTheme="minorEastAsia"/>
          <w:lang w:eastAsia="zh-CN"/>
        </w:rPr>
        <w:t xml:space="preserve"> </w:t>
      </w:r>
      <w:r w:rsidR="00F555B8">
        <w:rPr>
          <w:rFonts w:eastAsiaTheme="minorEastAsia"/>
          <w:lang w:eastAsia="zh-CN"/>
        </w:rPr>
        <w:t xml:space="preserve">Based on the WID, in RAN4#116bis, RAN4 started its first discussion of Rel-20 LB CA enhancements, and some </w:t>
      </w:r>
      <w:r w:rsidR="0000226C">
        <w:rPr>
          <w:rFonts w:eastAsiaTheme="minorEastAsia"/>
          <w:lang w:eastAsia="zh-CN"/>
        </w:rPr>
        <w:t>progresses</w:t>
      </w:r>
      <w:r w:rsidR="00F555B8">
        <w:rPr>
          <w:rFonts w:eastAsiaTheme="minorEastAsia"/>
          <w:lang w:eastAsia="zh-CN"/>
        </w:rPr>
        <w:t xml:space="preserve"> were made as captured in the WF [2]</w:t>
      </w:r>
    </w:p>
    <w:p w14:paraId="6DF2C059" w14:textId="127D3BE1" w:rsidR="00F555B8" w:rsidRPr="0000226C" w:rsidRDefault="00F555B8" w:rsidP="00F555B8">
      <w:pPr>
        <w:jc w:val="left"/>
        <w:rPr>
          <w:lang w:eastAsia="ko-KR"/>
        </w:rPr>
      </w:pPr>
      <w:r w:rsidRPr="0000226C">
        <w:rPr>
          <w:lang w:eastAsia="ko-KR"/>
        </w:rPr>
        <w:t xml:space="preserve">In this </w:t>
      </w:r>
      <w:r w:rsidRPr="0000226C">
        <w:t xml:space="preserve">contribution, we provide our views </w:t>
      </w:r>
      <w:r w:rsidR="008D4661" w:rsidRPr="0000226C">
        <w:t xml:space="preserve">focusing </w:t>
      </w:r>
      <w:r w:rsidRPr="0000226C">
        <w:t xml:space="preserve">on the following </w:t>
      </w:r>
      <w:r w:rsidR="008D4661" w:rsidRPr="0000226C">
        <w:t>open issues</w:t>
      </w:r>
      <w:r w:rsidRPr="0000226C">
        <w:t xml:space="preserve"> keeping in mind the previous agreements and issues in [2]:</w:t>
      </w:r>
    </w:p>
    <w:p w14:paraId="274E9FCA" w14:textId="19DB2456" w:rsidR="00F555B8" w:rsidRPr="0000226C" w:rsidRDefault="0000226C" w:rsidP="00F555B8">
      <w:pPr>
        <w:pStyle w:val="afc"/>
        <w:numPr>
          <w:ilvl w:val="0"/>
          <w:numId w:val="9"/>
        </w:numPr>
        <w:ind w:firstLineChars="0"/>
        <w:jc w:val="left"/>
        <w:rPr>
          <w:rFonts w:eastAsia="맑은 고딕"/>
          <w:lang w:eastAsia="ko-KR"/>
        </w:rPr>
      </w:pPr>
      <w:r w:rsidRPr="0000226C">
        <w:rPr>
          <w:rFonts w:eastAsia="맑은 고딕"/>
          <w:lang w:eastAsia="ko-KR"/>
        </w:rPr>
        <w:t>UE reference architecture and RF front-end assumptions</w:t>
      </w:r>
    </w:p>
    <w:p w14:paraId="0D31E906" w14:textId="024C3AB5" w:rsidR="0000226C" w:rsidRPr="0000226C" w:rsidRDefault="0000226C" w:rsidP="00F555B8">
      <w:pPr>
        <w:pStyle w:val="afc"/>
        <w:numPr>
          <w:ilvl w:val="0"/>
          <w:numId w:val="9"/>
        </w:numPr>
        <w:ind w:firstLineChars="0"/>
        <w:jc w:val="left"/>
        <w:rPr>
          <w:rFonts w:eastAsia="맑은 고딕"/>
          <w:lang w:eastAsia="ko-KR"/>
        </w:rPr>
      </w:pPr>
      <w:r w:rsidRPr="0000226C">
        <w:t>Impact on UE receiver requirements</w:t>
      </w:r>
    </w:p>
    <w:p w14:paraId="4174D532" w14:textId="45BA77CB" w:rsidR="0000226C" w:rsidRPr="0000226C" w:rsidRDefault="0000226C" w:rsidP="00F555B8">
      <w:pPr>
        <w:pStyle w:val="afc"/>
        <w:numPr>
          <w:ilvl w:val="0"/>
          <w:numId w:val="9"/>
        </w:numPr>
        <w:ind w:firstLineChars="0"/>
        <w:jc w:val="left"/>
        <w:rPr>
          <w:rFonts w:eastAsia="맑은 고딕"/>
          <w:lang w:eastAsia="ko-KR"/>
        </w:rPr>
      </w:pPr>
      <w:r w:rsidRPr="0000226C">
        <w:t>Relation to other configurations for LB CA via switching</w:t>
      </w:r>
    </w:p>
    <w:p w14:paraId="7F59A391" w14:textId="1C52CE60" w:rsidR="009B37B2" w:rsidRDefault="002E456A" w:rsidP="007A30A6">
      <w:pPr>
        <w:pStyle w:val="1"/>
        <w:rPr>
          <w:lang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3846E745" w14:textId="070DC0E7" w:rsidR="00F555B8" w:rsidRDefault="00F555B8" w:rsidP="00F555B8">
      <w:pPr>
        <w:pStyle w:val="2"/>
        <w:rPr>
          <w:lang w:val="en-US"/>
        </w:rPr>
      </w:pPr>
      <w:r>
        <w:rPr>
          <w:rFonts w:hint="eastAsia"/>
        </w:rPr>
        <w:t>2</w:t>
      </w:r>
      <w:r>
        <w:t>.1</w:t>
      </w:r>
      <w:r>
        <w:tab/>
      </w:r>
      <w:r w:rsidRPr="00F555B8">
        <w:t>UE reference architecture and RF front-end assumptions</w:t>
      </w:r>
    </w:p>
    <w:p w14:paraId="7273BE42" w14:textId="0D35E983" w:rsidR="00F555B8" w:rsidRPr="00F555B8" w:rsidRDefault="00F555B8" w:rsidP="00F555B8">
      <w:pPr>
        <w:jc w:val="left"/>
        <w:rPr>
          <w:rFonts w:eastAsia="맑은 고딕"/>
          <w:lang w:val="en-US" w:eastAsia="ko-KR"/>
        </w:rPr>
      </w:pPr>
      <w:r w:rsidRPr="00F555B8">
        <w:rPr>
          <w:rFonts w:eastAsia="맑은 고딕"/>
          <w:lang w:val="en-US" w:eastAsia="ko-KR"/>
        </w:rPr>
        <w:t>At the latest RAN4 meeting, a common understanding of the UE reference architecture for low-band CA via switching was established</w:t>
      </w:r>
      <w:r w:rsidR="002A02C7">
        <w:rPr>
          <w:rFonts w:eastAsia="맑은 고딕"/>
          <w:lang w:val="en-US" w:eastAsia="ko-KR"/>
        </w:rPr>
        <w:t xml:space="preserve"> [2]</w:t>
      </w:r>
      <w:r w:rsidRPr="00F555B8">
        <w:rPr>
          <w:rFonts w:eastAsia="맑은 고딕"/>
          <w:lang w:val="en-US" w:eastAsia="ko-KR"/>
        </w:rPr>
        <w:t>. In this architecture, the same main-path antenna and diversity-path antenna are used in both Case 1 and Case 3, and the UE realizes the switching behavior by reconfiguring the RF front-end filters and related components, rather than by adding completely separate antenna branches. From the viewpoint of the effective low-band Rx path, Case 1 corresponds to a narrower passband configuration where only the FDD DL carrier is within the Rx span, whereas Case 3 corresponds to a wider passband configuration where both the FDD DL and SDL DL carriers are included simultaneously.</w:t>
      </w:r>
    </w:p>
    <w:p w14:paraId="670A1EFF" w14:textId="6E9A77E9" w:rsidR="00F555B8" w:rsidRPr="00F555B8" w:rsidRDefault="002A02C7" w:rsidP="00F555B8">
      <w:pPr>
        <w:jc w:val="left"/>
        <w:rPr>
          <w:rFonts w:eastAsia="맑은 고딕"/>
          <w:lang w:val="en-US" w:eastAsia="ko-KR"/>
        </w:rPr>
      </w:pPr>
      <w:r>
        <w:rPr>
          <w:rFonts w:eastAsia="맑은 고딕"/>
          <w:lang w:val="en-US" w:eastAsia="ko-KR"/>
        </w:rPr>
        <w:t xml:space="preserve">In our view, </w:t>
      </w:r>
      <w:r w:rsidR="00F555B8" w:rsidRPr="00F555B8">
        <w:rPr>
          <w:rFonts w:eastAsia="맑은 고딕"/>
          <w:lang w:val="en-US" w:eastAsia="ko-KR"/>
        </w:rPr>
        <w:t xml:space="preserve">this agreed UE reference architecture </w:t>
      </w:r>
      <w:r>
        <w:rPr>
          <w:rFonts w:eastAsia="맑은 고딕"/>
          <w:lang w:val="en-US" w:eastAsia="ko-KR"/>
        </w:rPr>
        <w:t>is</w:t>
      </w:r>
      <w:r w:rsidR="00F555B8" w:rsidRPr="00F555B8">
        <w:rPr>
          <w:rFonts w:eastAsia="맑은 고딕"/>
          <w:lang w:val="en-US" w:eastAsia="ko-KR"/>
        </w:rPr>
        <w:t xml:space="preserve"> reasonable and </w:t>
      </w:r>
      <w:r>
        <w:rPr>
          <w:rFonts w:eastAsia="맑은 고딕"/>
          <w:lang w:val="en-US" w:eastAsia="ko-KR"/>
        </w:rPr>
        <w:t xml:space="preserve">provides </w:t>
      </w:r>
      <w:r w:rsidR="00F555B8" w:rsidRPr="00F555B8">
        <w:rPr>
          <w:rFonts w:eastAsia="맑은 고딕"/>
          <w:lang w:val="en-US" w:eastAsia="ko-KR"/>
        </w:rPr>
        <w:t>implementation</w:t>
      </w:r>
      <w:r>
        <w:rPr>
          <w:rFonts w:eastAsia="맑은 고딕"/>
          <w:lang w:val="en-US" w:eastAsia="ko-KR"/>
        </w:rPr>
        <w:t xml:space="preserve"> flexibility</w:t>
      </w:r>
      <w:r w:rsidR="00F555B8" w:rsidRPr="00F555B8">
        <w:rPr>
          <w:rFonts w:eastAsia="맑은 고딕"/>
          <w:lang w:val="en-US" w:eastAsia="ko-KR"/>
        </w:rPr>
        <w:t xml:space="preserve"> for specifying Rel-20 requirements. In particular, the architecture description should remain sufficiently generic to cover both single-LO and dual-LO implementations in the low-band region. For the purpose of RF requirements, however, it is important that the specification does not mandate any particular LO configuration, but rather focuses on the effective Rx span and on whether the UE behaves as a single-Rx or dual-Rx device from the standpoint of low-band DL reception.</w:t>
      </w:r>
    </w:p>
    <w:p w14:paraId="532ECBF7" w14:textId="77777777" w:rsidR="00F555B8" w:rsidRPr="00F555B8" w:rsidRDefault="00F555B8" w:rsidP="00F555B8">
      <w:pPr>
        <w:jc w:val="left"/>
        <w:rPr>
          <w:rFonts w:eastAsia="맑은 고딕"/>
          <w:lang w:val="en-US" w:eastAsia="ko-KR"/>
        </w:rPr>
      </w:pPr>
      <w:r w:rsidRPr="00F555B8">
        <w:rPr>
          <w:rFonts w:eastAsia="맑은 고딕"/>
          <w:lang w:val="en-US" w:eastAsia="ko-KR"/>
        </w:rPr>
        <w:t>Under this architectural view, the main target of the Rel-20 WI remains UEs that cannot support conventional low-band DL CA yet can, by means of switching and reconfiguration of their low-band Rx chain, realize part of the DL CA benefit for selected FDD+SDL band pairs. At the same time, RAN4 needs to ensure that the architecture is sufficiently flexible to accommodate implementations where dual LO and/or more capable front-end structures are present, without artificially restricting such implementations or introducing unnecessary capability splits.</w:t>
      </w:r>
    </w:p>
    <w:p w14:paraId="45539C7F" w14:textId="669357AE" w:rsidR="00F555B8" w:rsidRPr="008F1D67" w:rsidRDefault="008F1D67" w:rsidP="00F555B8">
      <w:pPr>
        <w:jc w:val="left"/>
        <w:rPr>
          <w:rFonts w:eastAsia="맑은 고딕"/>
          <w:b/>
          <w:bCs/>
          <w:lang w:val="en-US" w:eastAsia="ko-KR"/>
        </w:rPr>
      </w:pPr>
      <w:r w:rsidRPr="008F1D67">
        <w:rPr>
          <w:rFonts w:eastAsia="맑은 고딕" w:hint="eastAsia"/>
          <w:b/>
          <w:bCs/>
          <w:lang w:val="en-US" w:eastAsia="ko-KR"/>
        </w:rPr>
        <w:t>O</w:t>
      </w:r>
      <w:r w:rsidRPr="008F1D67">
        <w:rPr>
          <w:rFonts w:eastAsia="맑은 고딕"/>
          <w:b/>
          <w:bCs/>
          <w:lang w:val="en-US" w:eastAsia="ko-KR"/>
        </w:rPr>
        <w:t>bservation 1:</w:t>
      </w:r>
      <w:r w:rsidRPr="008F1D67">
        <w:rPr>
          <w:rFonts w:eastAsia="맑은 고딕"/>
          <w:b/>
          <w:bCs/>
          <w:lang w:val="en-US" w:eastAsia="ko-KR"/>
        </w:rPr>
        <w:tab/>
        <w:t>The agreed UE reference architecture is reasonable and provides implementation flexibility for specifying Rel-20 requirements.</w:t>
      </w:r>
    </w:p>
    <w:p w14:paraId="3D979A55" w14:textId="075A9786" w:rsidR="008F1D67" w:rsidRPr="008F1D67" w:rsidRDefault="008F1D67" w:rsidP="00F555B8">
      <w:pPr>
        <w:jc w:val="left"/>
        <w:rPr>
          <w:rFonts w:eastAsia="맑은 고딕"/>
          <w:b/>
          <w:bCs/>
          <w:lang w:val="en-US" w:eastAsia="ko-KR"/>
        </w:rPr>
      </w:pPr>
      <w:r w:rsidRPr="008F1D67">
        <w:rPr>
          <w:rFonts w:eastAsia="맑은 고딕" w:hint="eastAsia"/>
          <w:b/>
          <w:bCs/>
          <w:lang w:val="en-US" w:eastAsia="ko-KR"/>
        </w:rPr>
        <w:lastRenderedPageBreak/>
        <w:t>O</w:t>
      </w:r>
      <w:r w:rsidRPr="008F1D67">
        <w:rPr>
          <w:rFonts w:eastAsia="맑은 고딕"/>
          <w:b/>
          <w:bCs/>
          <w:lang w:val="en-US" w:eastAsia="ko-KR"/>
        </w:rPr>
        <w:t>bservation 2:</w:t>
      </w:r>
      <w:r w:rsidRPr="008F1D67">
        <w:rPr>
          <w:rFonts w:eastAsia="맑은 고딕"/>
          <w:b/>
          <w:bCs/>
          <w:lang w:val="en-US" w:eastAsia="ko-KR"/>
        </w:rPr>
        <w:tab/>
      </w:r>
      <w:r>
        <w:rPr>
          <w:rFonts w:eastAsia="맑은 고딕"/>
          <w:b/>
          <w:bCs/>
          <w:lang w:val="en-US" w:eastAsia="ko-KR"/>
        </w:rPr>
        <w:t>T</w:t>
      </w:r>
      <w:r w:rsidRPr="008F1D67">
        <w:rPr>
          <w:rFonts w:eastAsia="맑은 고딕"/>
          <w:b/>
          <w:bCs/>
          <w:lang w:val="en-US" w:eastAsia="ko-KR"/>
        </w:rPr>
        <w:t>he main target of the Rel-20 WI remains UEs that cannot support conventional low-band DL CA yet can, by means of switching and reconfiguration of their low-band Rx chain, realize part of the DL CA benefit for selected FDD+SDL band pairs.</w:t>
      </w:r>
    </w:p>
    <w:p w14:paraId="33A77ED7" w14:textId="6E01E75C" w:rsidR="00F555B8" w:rsidRPr="00F555B8" w:rsidRDefault="00F555B8" w:rsidP="00F555B8">
      <w:pPr>
        <w:jc w:val="left"/>
        <w:rPr>
          <w:rFonts w:eastAsia="맑은 고딕"/>
          <w:lang w:val="en-US" w:eastAsia="ko-KR"/>
        </w:rPr>
      </w:pPr>
      <w:r w:rsidRPr="00F555B8">
        <w:rPr>
          <w:rFonts w:eastAsia="맑은 고딕"/>
          <w:lang w:val="en-US" w:eastAsia="ko-KR"/>
        </w:rPr>
        <w:t>For the specific CA_n28A–n67A case, the recent discussion on RF filter feasibility has highlighted at least two reasonable options for the combined DL filter</w:t>
      </w:r>
      <w:r w:rsidR="008F1D67">
        <w:rPr>
          <w:rFonts w:eastAsia="맑은 고딕"/>
          <w:lang w:val="en-US" w:eastAsia="ko-KR"/>
        </w:rPr>
        <w:t xml:space="preserve"> [2]</w:t>
      </w:r>
      <w:r w:rsidRPr="00F555B8">
        <w:rPr>
          <w:rFonts w:eastAsia="맑은 고딕"/>
          <w:lang w:val="en-US" w:eastAsia="ko-KR"/>
        </w:rPr>
        <w:t>:</w:t>
      </w:r>
    </w:p>
    <w:p w14:paraId="3BB9DB9E" w14:textId="57B650E2" w:rsidR="00F555B8" w:rsidRPr="008F1D67" w:rsidRDefault="00F555B8" w:rsidP="008F1D67">
      <w:pPr>
        <w:pStyle w:val="afc"/>
        <w:numPr>
          <w:ilvl w:val="0"/>
          <w:numId w:val="11"/>
        </w:numPr>
        <w:ind w:firstLineChars="0"/>
        <w:jc w:val="left"/>
        <w:rPr>
          <w:rFonts w:eastAsia="맑은 고딕"/>
          <w:lang w:val="en-US" w:eastAsia="ko-KR"/>
        </w:rPr>
      </w:pPr>
      <w:r w:rsidRPr="008F1D67">
        <w:rPr>
          <w:rFonts w:eastAsia="맑은 고딕"/>
          <w:lang w:val="en-US" w:eastAsia="ko-KR"/>
        </w:rPr>
        <w:t>a full-band filter that covers the entire 738–803 MHz span; and</w:t>
      </w:r>
    </w:p>
    <w:p w14:paraId="642B0A3F" w14:textId="2DB6A305" w:rsidR="00F555B8" w:rsidRPr="008F1D67" w:rsidRDefault="00F555B8" w:rsidP="008F1D67">
      <w:pPr>
        <w:pStyle w:val="afc"/>
        <w:numPr>
          <w:ilvl w:val="0"/>
          <w:numId w:val="11"/>
        </w:numPr>
        <w:ind w:firstLineChars="0"/>
        <w:jc w:val="left"/>
        <w:rPr>
          <w:rFonts w:eastAsia="맑은 고딕"/>
          <w:lang w:val="en-US" w:eastAsia="ko-KR"/>
        </w:rPr>
      </w:pPr>
      <w:r w:rsidRPr="008F1D67">
        <w:rPr>
          <w:rFonts w:eastAsia="맑은 고딕"/>
          <w:lang w:val="en-US" w:eastAsia="ko-KR"/>
        </w:rPr>
        <w:t>a more limited span, e.g.</w:t>
      </w:r>
      <w:r w:rsidR="008F1D67">
        <w:rPr>
          <w:rFonts w:eastAsia="맑은 고딕"/>
          <w:lang w:val="en-US" w:eastAsia="ko-KR"/>
        </w:rPr>
        <w:t>,</w:t>
      </w:r>
      <w:r w:rsidRPr="008F1D67">
        <w:rPr>
          <w:rFonts w:eastAsia="맑은 고딕"/>
          <w:lang w:val="en-US" w:eastAsia="ko-KR"/>
        </w:rPr>
        <w:t xml:space="preserve"> 738–788 MHz combined with a restricted Region-1 definition for n28.</w:t>
      </w:r>
    </w:p>
    <w:p w14:paraId="2794DD44" w14:textId="77777777" w:rsidR="00F555B8" w:rsidRPr="00F555B8" w:rsidRDefault="00F555B8" w:rsidP="00F555B8">
      <w:pPr>
        <w:jc w:val="left"/>
        <w:rPr>
          <w:rFonts w:eastAsia="맑은 고딕"/>
          <w:lang w:val="en-US" w:eastAsia="ko-KR"/>
        </w:rPr>
      </w:pPr>
      <w:r w:rsidRPr="00F555B8">
        <w:rPr>
          <w:rFonts w:eastAsia="맑은 고딕"/>
          <w:lang w:val="en-US" w:eastAsia="ko-KR"/>
        </w:rPr>
        <w:t>From an RF requirements perspective, we believe that both types of filter realizations should be considered within the Rel-20 scope. In particular, the definition of “no-gap impact” based on the frequency separation between the carriers and the maximum aggregated CBW that a single low-band Rx chain is required to process should be applicable to both filter options. This allows RAN4 to define a unified set of RF requirements that does not depend on a single, rigid filter realization, while still ensuring that the practical constraints of the RF front-end are properly reflected in the specification.</w:t>
      </w:r>
    </w:p>
    <w:p w14:paraId="14F9325A" w14:textId="647A0727" w:rsidR="00F555B8" w:rsidRPr="00CE1F0D" w:rsidRDefault="00CE1F0D" w:rsidP="00F555B8">
      <w:pPr>
        <w:jc w:val="left"/>
        <w:rPr>
          <w:rFonts w:eastAsia="맑은 고딕"/>
          <w:b/>
          <w:bCs/>
          <w:lang w:val="en-US" w:eastAsia="ko-KR"/>
        </w:rPr>
      </w:pPr>
      <w:r w:rsidRPr="00CE1F0D">
        <w:rPr>
          <w:rFonts w:eastAsia="맑은 고딕" w:hint="eastAsia"/>
          <w:b/>
          <w:bCs/>
          <w:lang w:val="en-US" w:eastAsia="ko-KR"/>
        </w:rPr>
        <w:t>P</w:t>
      </w:r>
      <w:r w:rsidRPr="00CE1F0D">
        <w:rPr>
          <w:rFonts w:eastAsia="맑은 고딕"/>
          <w:b/>
          <w:bCs/>
          <w:lang w:val="en-US" w:eastAsia="ko-KR"/>
        </w:rPr>
        <w:t>roposal 1:</w:t>
      </w:r>
      <w:r w:rsidRPr="00CE1F0D">
        <w:rPr>
          <w:rFonts w:eastAsia="맑은 고딕"/>
          <w:b/>
          <w:bCs/>
          <w:lang w:val="en-US" w:eastAsia="ko-KR"/>
        </w:rPr>
        <w:tab/>
      </w:r>
      <w:r w:rsidRPr="00CE1F0D">
        <w:rPr>
          <w:rFonts w:eastAsia="맑은 고딕"/>
          <w:b/>
          <w:bCs/>
          <w:lang w:val="en-US" w:eastAsia="ko-KR"/>
        </w:rPr>
        <w:tab/>
        <w:t>The definition of “no-gap impact” based on the frequency separation between the carriers and the maximum aggregated CBW that a single low-band Rx chain is required to process should be applicable to both filter options.</w:t>
      </w:r>
    </w:p>
    <w:p w14:paraId="38714660" w14:textId="3600D716" w:rsidR="00CE1F0D" w:rsidRDefault="00CE1F0D" w:rsidP="00F555B8">
      <w:pPr>
        <w:jc w:val="left"/>
        <w:rPr>
          <w:rFonts w:eastAsia="맑은 고딕"/>
          <w:b/>
          <w:bCs/>
          <w:lang w:val="en-US" w:eastAsia="ko-KR"/>
        </w:rPr>
      </w:pPr>
      <w:r w:rsidRPr="00CE1F0D">
        <w:rPr>
          <w:rFonts w:eastAsia="맑은 고딕" w:hint="eastAsia"/>
          <w:b/>
          <w:bCs/>
          <w:lang w:val="en-US" w:eastAsia="ko-KR"/>
        </w:rPr>
        <w:t>P</w:t>
      </w:r>
      <w:r w:rsidRPr="00CE1F0D">
        <w:rPr>
          <w:rFonts w:eastAsia="맑은 고딕"/>
          <w:b/>
          <w:bCs/>
          <w:lang w:val="en-US" w:eastAsia="ko-KR"/>
        </w:rPr>
        <w:t>roposal 2:</w:t>
      </w:r>
      <w:r w:rsidRPr="00CE1F0D">
        <w:rPr>
          <w:rFonts w:eastAsia="맑은 고딕"/>
          <w:b/>
          <w:bCs/>
          <w:lang w:val="en-US" w:eastAsia="ko-KR"/>
        </w:rPr>
        <w:tab/>
      </w:r>
      <w:r w:rsidRPr="00CE1F0D">
        <w:rPr>
          <w:rFonts w:eastAsia="맑은 고딕"/>
          <w:b/>
          <w:bCs/>
          <w:lang w:val="en-US" w:eastAsia="ko-KR"/>
        </w:rPr>
        <w:tab/>
        <w:t>RAN4 should define a unified set of RF requirements that does not depend on a single, rigid filter realization</w:t>
      </w:r>
    </w:p>
    <w:p w14:paraId="3FE9CB38" w14:textId="31A482E1" w:rsidR="005534D2" w:rsidRPr="009207BA" w:rsidRDefault="005534D2" w:rsidP="005534D2">
      <w:pPr>
        <w:jc w:val="left"/>
        <w:rPr>
          <w:rFonts w:eastAsia="맑은 고딕"/>
          <w:lang w:val="en-US" w:eastAsia="ko-KR"/>
        </w:rPr>
      </w:pPr>
      <w:r>
        <w:rPr>
          <w:rFonts w:eastAsia="맑은 고딕" w:hint="eastAsia"/>
          <w:lang w:val="en-US" w:eastAsia="ko-KR"/>
        </w:rPr>
        <w:t>F</w:t>
      </w:r>
      <w:r>
        <w:rPr>
          <w:rFonts w:eastAsia="맑은 고딕"/>
          <w:lang w:val="en-US" w:eastAsia="ko-KR"/>
        </w:rPr>
        <w:t xml:space="preserve">igure 1 illustrates an example of </w:t>
      </w:r>
      <w:r w:rsidR="00D626EA" w:rsidRPr="00D626EA">
        <w:rPr>
          <w:rFonts w:eastAsia="맑은 고딕"/>
          <w:lang w:val="en-US" w:eastAsia="ko-KR"/>
        </w:rPr>
        <w:t>single-Rx architecture for LB CA via switching</w:t>
      </w:r>
      <w:r w:rsidR="00D626EA">
        <w:rPr>
          <w:rFonts w:eastAsia="맑은 고딕"/>
          <w:lang w:val="en-US" w:eastAsia="ko-KR"/>
        </w:rPr>
        <w:t xml:space="preserve">, which </w:t>
      </w:r>
      <w:r w:rsidRPr="009207BA">
        <w:rPr>
          <w:rFonts w:eastAsia="맑은 고딕"/>
          <w:lang w:val="en-US" w:eastAsia="ko-KR"/>
        </w:rPr>
        <w:t>alternates between:</w:t>
      </w:r>
    </w:p>
    <w:p w14:paraId="07260A26" w14:textId="77777777" w:rsidR="005534D2" w:rsidRPr="004C72D1" w:rsidRDefault="005534D2" w:rsidP="005534D2">
      <w:pPr>
        <w:pStyle w:val="afc"/>
        <w:numPr>
          <w:ilvl w:val="0"/>
          <w:numId w:val="11"/>
        </w:numPr>
        <w:ind w:firstLineChars="0"/>
        <w:jc w:val="left"/>
        <w:rPr>
          <w:rFonts w:eastAsia="맑은 고딕"/>
          <w:lang w:val="en-US" w:eastAsia="ko-KR"/>
        </w:rPr>
      </w:pPr>
      <w:r w:rsidRPr="004C72D1">
        <w:rPr>
          <w:rFonts w:eastAsia="맑은 고딕"/>
          <w:lang w:val="en-US" w:eastAsia="ko-KR"/>
        </w:rPr>
        <w:t>a narrow-span configuration (Case 1) aligned with the FDD DL carrier; and</w:t>
      </w:r>
    </w:p>
    <w:p w14:paraId="553A98DC" w14:textId="470FDEDF" w:rsidR="005534D2" w:rsidRPr="00D626EA" w:rsidRDefault="005534D2" w:rsidP="005534D2">
      <w:pPr>
        <w:pStyle w:val="afc"/>
        <w:numPr>
          <w:ilvl w:val="0"/>
          <w:numId w:val="11"/>
        </w:numPr>
        <w:ind w:firstLineChars="0"/>
        <w:jc w:val="left"/>
        <w:rPr>
          <w:rFonts w:eastAsia="맑은 고딕"/>
          <w:lang w:val="en-US" w:eastAsia="ko-KR"/>
        </w:rPr>
      </w:pPr>
      <w:r w:rsidRPr="004C72D1">
        <w:rPr>
          <w:rFonts w:eastAsia="맑은 고딕"/>
          <w:lang w:val="en-US" w:eastAsia="ko-KR"/>
        </w:rPr>
        <w:t>a wide-span configuration (Case 3) that covers both the FDD DL and SDL DL carriers, with an effective span determined by the chosen filter option.</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5534D2" w14:paraId="66AFCC8E" w14:textId="77777777" w:rsidTr="000B399C">
        <w:tc>
          <w:tcPr>
            <w:tcW w:w="9631" w:type="dxa"/>
          </w:tcPr>
          <w:p w14:paraId="53831454" w14:textId="4EF08E21" w:rsidR="005534D2" w:rsidRPr="00B31F3E" w:rsidRDefault="005534D2" w:rsidP="00D626EA">
            <w:pPr>
              <w:jc w:val="center"/>
              <w:rPr>
                <w:rFonts w:eastAsia="맑은 고딕"/>
                <w:b/>
                <w:bCs/>
                <w:lang w:val="en-US" w:eastAsia="ko-KR"/>
              </w:rPr>
            </w:pPr>
            <w:r>
              <w:rPr>
                <w:rFonts w:eastAsia="맑은 고딕"/>
                <w:b/>
                <w:bCs/>
                <w:noProof/>
                <w:lang w:val="en-US" w:eastAsia="ko-KR"/>
              </w:rPr>
              <w:drawing>
                <wp:inline distT="0" distB="0" distL="0" distR="0" wp14:anchorId="49A42847" wp14:editId="237045BB">
                  <wp:extent cx="4320000" cy="1132192"/>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132192"/>
                          </a:xfrm>
                          <a:prstGeom prst="rect">
                            <a:avLst/>
                          </a:prstGeom>
                          <a:noFill/>
                        </pic:spPr>
                      </pic:pic>
                    </a:graphicData>
                  </a:graphic>
                </wp:inline>
              </w:drawing>
            </w:r>
          </w:p>
        </w:tc>
      </w:tr>
    </w:tbl>
    <w:p w14:paraId="0212682F" w14:textId="39285ECF" w:rsidR="005534D2" w:rsidRPr="00277CB2" w:rsidRDefault="005534D2" w:rsidP="005534D2">
      <w:pPr>
        <w:jc w:val="center"/>
        <w:rPr>
          <w:rFonts w:eastAsia="맑은 고딕"/>
          <w:b/>
          <w:bCs/>
          <w:lang w:val="en-US" w:eastAsia="ko-KR"/>
        </w:rPr>
      </w:pPr>
      <w:r w:rsidRPr="00B31F3E">
        <w:rPr>
          <w:rFonts w:eastAsia="맑은 고딕" w:hint="eastAsia"/>
          <w:b/>
          <w:bCs/>
          <w:lang w:val="en-US" w:eastAsia="ko-KR"/>
        </w:rPr>
        <w:t>F</w:t>
      </w:r>
      <w:r w:rsidRPr="00B31F3E">
        <w:rPr>
          <w:rFonts w:eastAsia="맑은 고딕"/>
          <w:b/>
          <w:bCs/>
          <w:lang w:val="en-US" w:eastAsia="ko-KR"/>
        </w:rPr>
        <w:t xml:space="preserve">igure 1: Example </w:t>
      </w:r>
      <w:bookmarkStart w:id="1" w:name="_Hlk213415806"/>
      <w:r w:rsidR="00D626EA">
        <w:rPr>
          <w:rFonts w:eastAsia="맑은 고딕"/>
          <w:b/>
          <w:bCs/>
          <w:lang w:val="en-US" w:eastAsia="ko-KR"/>
        </w:rPr>
        <w:t>s</w:t>
      </w:r>
      <w:r w:rsidR="00D626EA" w:rsidRPr="00D626EA">
        <w:rPr>
          <w:rFonts w:eastAsia="맑은 고딕"/>
          <w:b/>
          <w:bCs/>
          <w:lang w:val="en-US" w:eastAsia="ko-KR"/>
        </w:rPr>
        <w:t>ingle-Rx architecture for LB CA via switching</w:t>
      </w:r>
      <w:bookmarkEnd w:id="1"/>
    </w:p>
    <w:p w14:paraId="17338547" w14:textId="77777777" w:rsidR="005534D2" w:rsidRPr="00177CE8" w:rsidRDefault="005534D2" w:rsidP="005534D2">
      <w:pPr>
        <w:jc w:val="left"/>
        <w:rPr>
          <w:b/>
          <w:bCs/>
        </w:rPr>
      </w:pPr>
      <w:r w:rsidRPr="005534D2">
        <w:rPr>
          <w:rFonts w:eastAsia="맑은 고딕"/>
          <w:lang w:val="en-US" w:eastAsia="ko-KR"/>
        </w:rPr>
        <w:t>Although various implementations (including single- or dual-LO and single- or dual-Rx topologies) may coexist in the ecosystem, the Rel-20 LB CA via switching work item is designed such that the RF requirements remain feasible even for UEs that employ a single reconfigurable low-band Rx chain for the considered FDD+SDL band pairs. More capable implementations, such as UEs with separate low-band Rx chains realizing conventional DL CA, are not excluded by this work item but are not the primary design target of the switching framework.</w:t>
      </w:r>
    </w:p>
    <w:p w14:paraId="58F8CBEE" w14:textId="07A2A397" w:rsidR="008D4661" w:rsidRPr="00CE1F0D" w:rsidRDefault="008D4661" w:rsidP="008D4661">
      <w:pPr>
        <w:pStyle w:val="2"/>
        <w:rPr>
          <w:lang w:val="en-US"/>
        </w:rPr>
      </w:pPr>
      <w:bookmarkStart w:id="2" w:name="_Hlk213324397"/>
      <w:r>
        <w:t>2.</w:t>
      </w:r>
      <w:r w:rsidR="00095B17">
        <w:t>2</w:t>
      </w:r>
      <w:r>
        <w:tab/>
      </w:r>
      <w:bookmarkStart w:id="3" w:name="_Hlk213333832"/>
      <w:r w:rsidRPr="008D4661">
        <w:t>Impact on UE receiver requirements</w:t>
      </w:r>
      <w:bookmarkEnd w:id="3"/>
    </w:p>
    <w:p w14:paraId="226D42AD" w14:textId="2A839119" w:rsidR="008D4661" w:rsidRPr="008D4661" w:rsidRDefault="008D4661" w:rsidP="008D4661">
      <w:pPr>
        <w:jc w:val="left"/>
        <w:rPr>
          <w:rFonts w:eastAsia="맑은 고딕"/>
          <w:lang w:val="en-US" w:eastAsia="ko-KR"/>
        </w:rPr>
      </w:pPr>
      <w:r w:rsidRPr="008D4661">
        <w:rPr>
          <w:rFonts w:eastAsia="맑은 고딕"/>
          <w:lang w:val="en-US" w:eastAsia="ko-KR"/>
        </w:rPr>
        <w:t xml:space="preserve">Under the single-Rx architectural assumption described above, dual-DL switching may require the low-band Rx chain </w:t>
      </w:r>
      <w:bookmarkEnd w:id="2"/>
      <w:r w:rsidRPr="008D4661">
        <w:rPr>
          <w:rFonts w:eastAsia="맑은 고딕"/>
          <w:lang w:val="en-US" w:eastAsia="ko-KR"/>
        </w:rPr>
        <w:t xml:space="preserve">to operate over an extended span when both the FDD DL and SDL DL carriers are within the passband. From an implementation perspective, this extended span could in principle lead to some performance degradation compared to the single-carrier case, depending on the exact filter realization and the aggregated CBW that needs to be processed. However, </w:t>
      </w:r>
      <w:bookmarkStart w:id="4" w:name="_Hlk213322734"/>
      <w:r w:rsidR="00C0408F">
        <w:rPr>
          <w:rFonts w:eastAsia="맑은 고딕"/>
          <w:lang w:val="en-US" w:eastAsia="ko-KR"/>
        </w:rPr>
        <w:t xml:space="preserve">it can be considered </w:t>
      </w:r>
      <w:r w:rsidRPr="008D4661">
        <w:rPr>
          <w:rFonts w:eastAsia="맑은 고딕"/>
          <w:lang w:val="en-US" w:eastAsia="ko-KR"/>
        </w:rPr>
        <w:t xml:space="preserve">that the existing low-band UE Rx requirements can still be </w:t>
      </w:r>
      <w:r>
        <w:rPr>
          <w:rFonts w:eastAsia="맑은 고딕"/>
          <w:lang w:val="en-US" w:eastAsia="ko-KR"/>
        </w:rPr>
        <w:t xml:space="preserve">reused </w:t>
      </w:r>
      <w:r w:rsidRPr="008D4661">
        <w:rPr>
          <w:rFonts w:eastAsia="맑은 고딕"/>
          <w:lang w:val="en-US" w:eastAsia="ko-KR"/>
        </w:rPr>
        <w:t>without any relaxation, provided that the aggregated CBW and the frequency separation between the carriers are kept within reasonable bounds under the “no-gap impact” condition.</w:t>
      </w:r>
      <w:bookmarkEnd w:id="4"/>
    </w:p>
    <w:p w14:paraId="54A3A304" w14:textId="228BEF96" w:rsidR="008D4661" w:rsidRDefault="008D4661" w:rsidP="008D4661">
      <w:pPr>
        <w:jc w:val="left"/>
        <w:rPr>
          <w:rFonts w:eastAsia="맑은 고딕"/>
          <w:b/>
          <w:bCs/>
          <w:lang w:val="en-US" w:eastAsia="ko-KR"/>
        </w:rPr>
      </w:pPr>
      <w:r w:rsidRPr="00C0408F">
        <w:rPr>
          <w:rFonts w:eastAsia="맑은 고딕"/>
          <w:b/>
          <w:bCs/>
          <w:lang w:val="en-US" w:eastAsia="ko-KR"/>
        </w:rPr>
        <w:lastRenderedPageBreak/>
        <w:t>Observation</w:t>
      </w:r>
      <w:r w:rsidR="00C0408F" w:rsidRPr="00C0408F">
        <w:rPr>
          <w:rFonts w:eastAsia="맑은 고딕"/>
          <w:b/>
          <w:bCs/>
          <w:lang w:val="en-US" w:eastAsia="ko-KR"/>
        </w:rPr>
        <w:t xml:space="preserve"> </w:t>
      </w:r>
      <w:r w:rsidR="00095B17">
        <w:rPr>
          <w:rFonts w:eastAsia="맑은 고딕"/>
          <w:b/>
          <w:bCs/>
          <w:lang w:val="en-US" w:eastAsia="ko-KR"/>
        </w:rPr>
        <w:t>3</w:t>
      </w:r>
      <w:r w:rsidRPr="00C0408F">
        <w:rPr>
          <w:rFonts w:eastAsia="맑은 고딕"/>
          <w:b/>
          <w:bCs/>
          <w:lang w:val="en-US" w:eastAsia="ko-KR"/>
        </w:rPr>
        <w:t>:</w:t>
      </w:r>
      <w:r w:rsidR="00C0408F" w:rsidRPr="00C0408F">
        <w:rPr>
          <w:rFonts w:eastAsia="맑은 고딕"/>
          <w:b/>
          <w:bCs/>
          <w:lang w:val="en-US" w:eastAsia="ko-KR"/>
        </w:rPr>
        <w:tab/>
        <w:t>From an implementation perspective, th</w:t>
      </w:r>
      <w:r w:rsidR="00C0408F">
        <w:rPr>
          <w:rFonts w:eastAsia="맑은 고딕"/>
          <w:b/>
          <w:bCs/>
          <w:lang w:val="en-US" w:eastAsia="ko-KR"/>
        </w:rPr>
        <w:t>e</w:t>
      </w:r>
      <w:r w:rsidR="00C0408F" w:rsidRPr="00C0408F">
        <w:rPr>
          <w:rFonts w:eastAsia="맑은 고딕"/>
          <w:b/>
          <w:bCs/>
          <w:lang w:val="en-US" w:eastAsia="ko-KR"/>
        </w:rPr>
        <w:t xml:space="preserve"> extended span could in principle lead to some performance degradation compared to the single-carrier case, depending on the exact filter realization and the aggregated CBW that needs to be processed.</w:t>
      </w:r>
    </w:p>
    <w:p w14:paraId="5EEDB3A7" w14:textId="70AB33BF" w:rsidR="00C0408F" w:rsidRPr="00C0408F" w:rsidRDefault="00C0408F" w:rsidP="008D4661">
      <w:pPr>
        <w:jc w:val="left"/>
        <w:rPr>
          <w:rFonts w:eastAsia="맑은 고딕"/>
          <w:b/>
          <w:bCs/>
          <w:lang w:val="en-US" w:eastAsia="ko-KR"/>
        </w:rPr>
      </w:pPr>
      <w:r>
        <w:rPr>
          <w:rFonts w:eastAsia="맑은 고딕"/>
          <w:b/>
          <w:bCs/>
          <w:lang w:val="en-US" w:eastAsia="ko-KR"/>
        </w:rPr>
        <w:t xml:space="preserve">Observation </w:t>
      </w:r>
      <w:r w:rsidR="00095B17">
        <w:rPr>
          <w:rFonts w:eastAsia="맑은 고딕"/>
          <w:b/>
          <w:bCs/>
          <w:lang w:val="en-US" w:eastAsia="ko-KR"/>
        </w:rPr>
        <w:t>4</w:t>
      </w:r>
      <w:r>
        <w:rPr>
          <w:rFonts w:eastAsia="맑은 고딕"/>
          <w:b/>
          <w:bCs/>
          <w:lang w:val="en-US" w:eastAsia="ko-KR"/>
        </w:rPr>
        <w:t>:</w:t>
      </w:r>
      <w:r>
        <w:rPr>
          <w:rFonts w:eastAsia="맑은 고딕"/>
          <w:b/>
          <w:bCs/>
          <w:lang w:val="en-US" w:eastAsia="ko-KR"/>
        </w:rPr>
        <w:tab/>
        <w:t>T</w:t>
      </w:r>
      <w:r w:rsidRPr="00C0408F">
        <w:rPr>
          <w:rFonts w:eastAsia="맑은 고딕"/>
          <w:b/>
          <w:bCs/>
          <w:lang w:val="en-US" w:eastAsia="ko-KR"/>
        </w:rPr>
        <w:t>he existing low-band UE Rx requirements can still be reused without any relaxation, provided that the aggregated CBW and the frequency separation between the carriers are kept within reasonable bounds under the “no-gap impact” condition.</w:t>
      </w:r>
    </w:p>
    <w:p w14:paraId="4E0CFA5C" w14:textId="41348E02" w:rsidR="008D4661" w:rsidRPr="008D4661" w:rsidRDefault="00997C85" w:rsidP="008D4661">
      <w:pPr>
        <w:jc w:val="left"/>
        <w:rPr>
          <w:rFonts w:eastAsia="맑은 고딕"/>
          <w:lang w:val="en-US" w:eastAsia="ko-KR"/>
        </w:rPr>
      </w:pPr>
      <w:r>
        <w:rPr>
          <w:rFonts w:eastAsia="맑은 고딕"/>
          <w:lang w:val="en-US" w:eastAsia="ko-KR"/>
        </w:rPr>
        <w:t>In this regard</w:t>
      </w:r>
      <w:r w:rsidR="008D4661" w:rsidRPr="008D4661">
        <w:rPr>
          <w:rFonts w:eastAsia="맑은 고딕"/>
          <w:lang w:val="en-US" w:eastAsia="ko-KR"/>
        </w:rPr>
        <w:t xml:space="preserve">, </w:t>
      </w:r>
      <w:r w:rsidR="00C0408F">
        <w:rPr>
          <w:rFonts w:eastAsia="맑은 고딕"/>
          <w:lang w:val="en-US" w:eastAsia="ko-KR"/>
        </w:rPr>
        <w:t>in [3], it was suggested to consider that</w:t>
      </w:r>
      <w:r w:rsidR="008D4661" w:rsidRPr="008D4661">
        <w:rPr>
          <w:rFonts w:eastAsia="맑은 고딕"/>
          <w:lang w:val="en-US" w:eastAsia="ko-KR"/>
        </w:rPr>
        <w:t xml:space="preserve"> each downlink carrier involved in the Rel-20 LB CA via switching framework should individually satisfy the existing single-carrier UE Rx requirements, including reference sensitivity, ΔR</w:t>
      </w:r>
      <w:r w:rsidR="008D4661" w:rsidRPr="00C0408F">
        <w:rPr>
          <w:rFonts w:eastAsia="맑은 고딕"/>
          <w:vertAlign w:val="subscript"/>
          <w:lang w:val="en-US" w:eastAsia="ko-KR"/>
        </w:rPr>
        <w:t>IB,c</w:t>
      </w:r>
      <w:r w:rsidR="008D4661" w:rsidRPr="008D4661">
        <w:rPr>
          <w:rFonts w:eastAsia="맑은 고딕"/>
          <w:lang w:val="en-US" w:eastAsia="ko-KR"/>
        </w:rPr>
        <w:t>, adjacent channel selectivity, in-band blocking, and out-of-band blocking, as already specified for the corresponding bands in TS 38.101-1. No new per-carrier UE Rx requirements or relaxed numeric values are considered necessary from our perspective.</w:t>
      </w:r>
    </w:p>
    <w:p w14:paraId="62ED6EBE" w14:textId="77777777" w:rsidR="008D4661" w:rsidRPr="008D4661" w:rsidRDefault="008D4661" w:rsidP="008D4661">
      <w:pPr>
        <w:jc w:val="left"/>
        <w:rPr>
          <w:rFonts w:eastAsia="맑은 고딕"/>
          <w:lang w:val="en-US" w:eastAsia="ko-KR"/>
        </w:rPr>
      </w:pPr>
      <w:r w:rsidRPr="008D4661">
        <w:rPr>
          <w:rFonts w:eastAsia="맑은 고딕"/>
          <w:lang w:val="en-US" w:eastAsia="ko-KR"/>
        </w:rPr>
        <w:t>Instead, we believe it is appropriate to define the Rel-20 impact primarily through a small number of additional constraints on the combined scenario, in particular:</w:t>
      </w:r>
    </w:p>
    <w:p w14:paraId="73B69C44" w14:textId="344D1D58" w:rsidR="008D4661" w:rsidRPr="00997C85" w:rsidRDefault="008D4661" w:rsidP="00997C85">
      <w:pPr>
        <w:pStyle w:val="afc"/>
        <w:numPr>
          <w:ilvl w:val="0"/>
          <w:numId w:val="11"/>
        </w:numPr>
        <w:ind w:firstLineChars="0"/>
        <w:jc w:val="left"/>
        <w:rPr>
          <w:rFonts w:eastAsia="맑은 고딕"/>
          <w:lang w:val="en-US" w:eastAsia="ko-KR"/>
        </w:rPr>
      </w:pPr>
      <w:r w:rsidRPr="00997C85">
        <w:rPr>
          <w:rFonts w:eastAsia="맑은 고딕"/>
          <w:lang w:val="en-US" w:eastAsia="ko-KR"/>
        </w:rPr>
        <w:t>A maximum allowable separation Δf between the low-band carriers under the “no-gap impact” condition, defining the range of FDD+SDL band pairs and configurations for which a single low-band Rx chain needs to support the combined span; and</w:t>
      </w:r>
    </w:p>
    <w:p w14:paraId="3F95CE4B" w14:textId="02370CF2" w:rsidR="008D4661" w:rsidRPr="00997C85" w:rsidRDefault="008D4661" w:rsidP="00997C85">
      <w:pPr>
        <w:pStyle w:val="afc"/>
        <w:numPr>
          <w:ilvl w:val="0"/>
          <w:numId w:val="11"/>
        </w:numPr>
        <w:ind w:firstLineChars="0"/>
        <w:jc w:val="left"/>
        <w:rPr>
          <w:rFonts w:eastAsia="맑은 고딕"/>
          <w:lang w:val="en-US" w:eastAsia="ko-KR"/>
        </w:rPr>
      </w:pPr>
      <w:r w:rsidRPr="00997C85">
        <w:rPr>
          <w:rFonts w:eastAsia="맑은 고딕"/>
          <w:lang w:val="en-US" w:eastAsia="ko-KR"/>
        </w:rPr>
        <w:t>A maximum aggregated channel bandwidth (aggregated CBW) that a single low-band Rx chain is required to process when both carriers fall within the same effective passband in Case 3.</w:t>
      </w:r>
    </w:p>
    <w:p w14:paraId="400B9E5A" w14:textId="60BC2B0D" w:rsidR="008D4661" w:rsidRDefault="008D4661" w:rsidP="008D4661">
      <w:pPr>
        <w:jc w:val="left"/>
        <w:rPr>
          <w:rFonts w:eastAsia="맑은 고딕"/>
          <w:lang w:val="en-US" w:eastAsia="ko-KR"/>
        </w:rPr>
      </w:pPr>
      <w:r w:rsidRPr="008D4661">
        <w:rPr>
          <w:rFonts w:eastAsia="맑은 고딕"/>
          <w:lang w:val="en-US" w:eastAsia="ko-KR"/>
        </w:rPr>
        <w:t>By constraining the problem in this way, RAN4 can ensure that the single-Rx UE can meet all existing single-carrier Rx requirements even in the dual-DL switching configuration, without introducing new numeric requirements or complex inter-band coupling terms</w:t>
      </w:r>
      <w:r w:rsidR="00997C85">
        <w:rPr>
          <w:rFonts w:eastAsia="맑은 고딕"/>
          <w:lang w:val="en-US" w:eastAsia="ko-KR"/>
        </w:rPr>
        <w:t xml:space="preserve"> for dual-DL</w:t>
      </w:r>
      <w:r w:rsidRPr="008D4661">
        <w:rPr>
          <w:rFonts w:eastAsia="맑은 고딕"/>
          <w:lang w:val="en-US" w:eastAsia="ko-KR"/>
        </w:rPr>
        <w:t>. For configurations where the separation between the carriers or the aggregated CBW exceeds these limits, the corresponding band combinations would simply fall outside the Rel-20 LB CA via switching scope and could instead be addressed by conventional DL CA UEs or by different deployment strategies.</w:t>
      </w:r>
      <w:r w:rsidR="009207BA">
        <w:rPr>
          <w:rFonts w:eastAsia="맑은 고딕"/>
          <w:lang w:val="en-US" w:eastAsia="ko-KR"/>
        </w:rPr>
        <w:t xml:space="preserve"> </w:t>
      </w:r>
    </w:p>
    <w:p w14:paraId="38907E41" w14:textId="77777777" w:rsidR="005534D2" w:rsidRDefault="005534D2" w:rsidP="005534D2">
      <w:pPr>
        <w:jc w:val="left"/>
        <w:rPr>
          <w:rFonts w:eastAsia="맑은 고딕"/>
          <w:b/>
          <w:bCs/>
          <w:lang w:val="en-US" w:eastAsia="ko-KR"/>
        </w:rPr>
      </w:pPr>
      <w:r w:rsidRPr="00177CE8">
        <w:rPr>
          <w:rFonts w:eastAsia="맑은 고딕" w:hint="eastAsia"/>
          <w:b/>
          <w:bCs/>
          <w:lang w:val="en-US" w:eastAsia="ko-KR"/>
        </w:rPr>
        <w:t>P</w:t>
      </w:r>
      <w:r w:rsidRPr="00177CE8">
        <w:rPr>
          <w:rFonts w:eastAsia="맑은 고딕"/>
          <w:b/>
          <w:bCs/>
          <w:lang w:val="en-US" w:eastAsia="ko-KR"/>
        </w:rPr>
        <w:t xml:space="preserve">roposal </w:t>
      </w:r>
      <w:r>
        <w:rPr>
          <w:rFonts w:eastAsia="맑은 고딕"/>
          <w:b/>
          <w:bCs/>
          <w:lang w:val="en-US" w:eastAsia="ko-KR"/>
        </w:rPr>
        <w:t>3</w:t>
      </w:r>
      <w:r w:rsidRPr="00177CE8">
        <w:rPr>
          <w:rFonts w:eastAsia="맑은 고딕"/>
          <w:b/>
          <w:bCs/>
          <w:lang w:val="en-US" w:eastAsia="ko-KR"/>
        </w:rPr>
        <w:t>:</w:t>
      </w:r>
      <w:r w:rsidRPr="00177CE8">
        <w:rPr>
          <w:rFonts w:eastAsia="맑은 고딕"/>
          <w:b/>
          <w:bCs/>
          <w:lang w:val="en-US" w:eastAsia="ko-KR"/>
        </w:rPr>
        <w:tab/>
      </w:r>
      <w:r w:rsidRPr="00177CE8">
        <w:rPr>
          <w:rFonts w:eastAsia="맑은 고딕"/>
          <w:b/>
          <w:bCs/>
          <w:lang w:val="en-US" w:eastAsia="ko-KR"/>
        </w:rPr>
        <w:tab/>
        <w:t>It is recommended to introduce a maximum allowable separation and/or maximum aggregated channel bandwidth ensuring all existing single-carrier Rx requirements even in the dual-DL switching configuration, without introducing new numeric requirements or complex inter-band coupling terms for dual-DL relaxations.</w:t>
      </w:r>
    </w:p>
    <w:p w14:paraId="7614ADD8" w14:textId="63870C84" w:rsidR="00177CE8" w:rsidRPr="00CE1F0D" w:rsidRDefault="00177CE8" w:rsidP="00177CE8">
      <w:pPr>
        <w:pStyle w:val="2"/>
        <w:rPr>
          <w:lang w:val="en-US"/>
        </w:rPr>
      </w:pPr>
      <w:r>
        <w:t>2.</w:t>
      </w:r>
      <w:r w:rsidR="00095B17">
        <w:t>3</w:t>
      </w:r>
      <w:r>
        <w:tab/>
      </w:r>
      <w:r w:rsidRPr="00177CE8">
        <w:t>Relation to Rel-19 LB CA via switching</w:t>
      </w:r>
    </w:p>
    <w:p w14:paraId="465D4B76" w14:textId="75772209" w:rsidR="00177CE8" w:rsidRPr="00177CE8" w:rsidRDefault="00177CE8" w:rsidP="00177CE8">
      <w:pPr>
        <w:jc w:val="left"/>
        <w:rPr>
          <w:rFonts w:eastAsia="맑은 고딕"/>
          <w:lang w:val="en-US" w:eastAsia="ko-KR"/>
        </w:rPr>
      </w:pPr>
      <w:r>
        <w:rPr>
          <w:rFonts w:eastAsia="맑은 고딕"/>
          <w:lang w:val="en-US" w:eastAsia="ko-KR"/>
        </w:rPr>
        <w:t>As discussed in [2]</w:t>
      </w:r>
      <w:r w:rsidRPr="00177CE8">
        <w:rPr>
          <w:rFonts w:eastAsia="맑은 고딕"/>
          <w:lang w:val="en-US" w:eastAsia="ko-KR"/>
        </w:rPr>
        <w:t xml:space="preserve">, it is </w:t>
      </w:r>
      <w:r>
        <w:rPr>
          <w:rFonts w:eastAsia="맑은 고딕"/>
          <w:lang w:val="en-US" w:eastAsia="ko-KR"/>
        </w:rPr>
        <w:t xml:space="preserve">also </w:t>
      </w:r>
      <w:r w:rsidRPr="00177CE8">
        <w:rPr>
          <w:rFonts w:eastAsia="맑은 고딕"/>
          <w:lang w:val="en-US" w:eastAsia="ko-KR"/>
        </w:rPr>
        <w:t xml:space="preserve">important to clarify the relationship between the Rel-20 LB CA via switching enhancements and the existing Rel-19 framework. From our standpoint, the Rel-20 work item should be regarded as an incremental extension of the Rel-19 feature, rather than as a completely separate mechanism. In particular, </w:t>
      </w:r>
      <w:r>
        <w:rPr>
          <w:rFonts w:eastAsia="맑은 고딕"/>
          <w:lang w:val="en-US" w:eastAsia="ko-KR"/>
        </w:rPr>
        <w:t xml:space="preserve">it should be considered </w:t>
      </w:r>
      <w:r w:rsidRPr="00177CE8">
        <w:rPr>
          <w:rFonts w:eastAsia="맑은 고딕"/>
          <w:lang w:val="en-US" w:eastAsia="ko-KR"/>
        </w:rPr>
        <w:t>that:</w:t>
      </w:r>
    </w:p>
    <w:p w14:paraId="0424BE58" w14:textId="23B138D9" w:rsidR="00177CE8" w:rsidRPr="00177CE8" w:rsidRDefault="00177CE8" w:rsidP="00177CE8">
      <w:pPr>
        <w:pStyle w:val="afc"/>
        <w:numPr>
          <w:ilvl w:val="0"/>
          <w:numId w:val="11"/>
        </w:numPr>
        <w:ind w:firstLineChars="0"/>
        <w:jc w:val="left"/>
        <w:rPr>
          <w:rFonts w:eastAsia="맑은 고딕"/>
          <w:lang w:val="en-US" w:eastAsia="ko-KR"/>
        </w:rPr>
      </w:pPr>
      <w:r w:rsidRPr="00177CE8">
        <w:rPr>
          <w:rFonts w:eastAsia="맑은 고딕"/>
          <w:lang w:val="en-US" w:eastAsia="ko-KR"/>
        </w:rPr>
        <w:t>The Rel-19 signaling and RRC framework for LB CA via switching, including the semi-static configuration of Case 1 and Case 3 and the associated UL time mask, should be reused as much as possible.</w:t>
      </w:r>
    </w:p>
    <w:p w14:paraId="6ECF46A7" w14:textId="6B0959D8" w:rsidR="00177CE8" w:rsidRPr="00177CE8" w:rsidRDefault="00177CE8" w:rsidP="00177CE8">
      <w:pPr>
        <w:pStyle w:val="afc"/>
        <w:numPr>
          <w:ilvl w:val="0"/>
          <w:numId w:val="11"/>
        </w:numPr>
        <w:ind w:firstLineChars="0"/>
        <w:jc w:val="left"/>
        <w:rPr>
          <w:rFonts w:eastAsia="맑은 고딕"/>
          <w:lang w:val="en-US" w:eastAsia="ko-KR"/>
        </w:rPr>
      </w:pPr>
      <w:r w:rsidRPr="00177CE8">
        <w:rPr>
          <w:rFonts w:eastAsia="맑은 고딕"/>
          <w:lang w:val="en-US" w:eastAsia="ko-KR"/>
        </w:rPr>
        <w:t>Rel-20 dual-DL switching configurations should be defined as enhancements on top of the Rel-19 framework, reusing the same basic behavior while extending the scope to selected FDD+SDL band pairs under the “no-gap impact” condition.</w:t>
      </w:r>
    </w:p>
    <w:p w14:paraId="5B4C036B" w14:textId="231A425E" w:rsidR="00177CE8" w:rsidRPr="00177CE8" w:rsidRDefault="00177CE8" w:rsidP="00177CE8">
      <w:pPr>
        <w:pStyle w:val="afc"/>
        <w:numPr>
          <w:ilvl w:val="0"/>
          <w:numId w:val="11"/>
        </w:numPr>
        <w:ind w:firstLineChars="0"/>
        <w:jc w:val="left"/>
        <w:rPr>
          <w:rFonts w:eastAsia="맑은 고딕"/>
          <w:lang w:val="en-US" w:eastAsia="ko-KR"/>
        </w:rPr>
      </w:pPr>
      <w:r w:rsidRPr="00177CE8">
        <w:rPr>
          <w:rFonts w:eastAsia="맑은 고딕"/>
          <w:lang w:val="en-US" w:eastAsia="ko-KR"/>
        </w:rPr>
        <w:t>A single UE may support only the Rel-19-type FDD+SDL switching, only the Rel-20 dual-DL enhancements, or both, depending on its low-band Rx architecture and capability declarations. The specification should clearly distinguish these capability levels while avoiding unnecessary fragmentation.</w:t>
      </w:r>
    </w:p>
    <w:p w14:paraId="3E31918B" w14:textId="1D18A5BC" w:rsidR="008D4661" w:rsidRDefault="00177CE8" w:rsidP="00177CE8">
      <w:pPr>
        <w:jc w:val="left"/>
        <w:rPr>
          <w:rFonts w:eastAsia="맑은 고딕"/>
          <w:lang w:val="en-US" w:eastAsia="ko-KR"/>
        </w:rPr>
      </w:pPr>
      <w:r w:rsidRPr="00177CE8">
        <w:rPr>
          <w:rFonts w:eastAsia="맑은 고딕"/>
          <w:lang w:val="en-US" w:eastAsia="ko-KR"/>
        </w:rPr>
        <w:t>From the RF requirements viewpoint, this implies that Rel-19 and Rel-20 LB CA via switching should share a common structure and philosophy, with Rel-20 adding only those clarifications and additional constraints (such as the switching-period capability</w:t>
      </w:r>
      <w:r>
        <w:rPr>
          <w:rFonts w:eastAsia="맑은 고딕"/>
          <w:lang w:val="en-US" w:eastAsia="ko-KR"/>
        </w:rPr>
        <w:t xml:space="preserve"> for Rel-20</w:t>
      </w:r>
      <w:r w:rsidRPr="00177CE8">
        <w:rPr>
          <w:rFonts w:eastAsia="맑은 고딕"/>
          <w:lang w:val="en-US" w:eastAsia="ko-KR"/>
        </w:rPr>
        <w:t xml:space="preserve">, maximum aggregated CBW, and carrier separation limits) that are strictly required to support dual-DL operation. No fundamentally new class of RF requirement is considered necessary. We believe that </w:t>
      </w:r>
      <w:r w:rsidRPr="00177CE8">
        <w:rPr>
          <w:rFonts w:eastAsia="맑은 고딕"/>
          <w:lang w:val="en-US" w:eastAsia="ko-KR"/>
        </w:rPr>
        <w:lastRenderedPageBreak/>
        <w:t>such an approach will keep the specification consistent and manageable across releases, while providing sufficient flexibility to accommodate various UE architectures and deployment choices in the low-band region.</w:t>
      </w:r>
    </w:p>
    <w:p w14:paraId="559AE05B" w14:textId="3D64D28E" w:rsidR="00664B6A" w:rsidRPr="00664B6A" w:rsidRDefault="00664B6A" w:rsidP="00177CE8">
      <w:pPr>
        <w:jc w:val="left"/>
        <w:rPr>
          <w:rFonts w:eastAsia="맑은 고딕"/>
          <w:b/>
          <w:bCs/>
          <w:lang w:val="en-US" w:eastAsia="ko-KR"/>
        </w:rPr>
      </w:pPr>
      <w:r w:rsidRPr="00664B6A">
        <w:rPr>
          <w:rFonts w:eastAsia="맑은 고딕"/>
          <w:b/>
          <w:bCs/>
          <w:lang w:val="en-US" w:eastAsia="ko-KR"/>
        </w:rPr>
        <w:t xml:space="preserve">Proposal </w:t>
      </w:r>
      <w:r w:rsidR="00095B17">
        <w:rPr>
          <w:rFonts w:eastAsia="맑은 고딕"/>
          <w:b/>
          <w:bCs/>
          <w:lang w:val="en-US" w:eastAsia="ko-KR"/>
        </w:rPr>
        <w:t>4</w:t>
      </w:r>
      <w:r w:rsidRPr="00664B6A">
        <w:rPr>
          <w:rFonts w:eastAsia="맑은 고딕"/>
          <w:b/>
          <w:bCs/>
          <w:lang w:val="en-US" w:eastAsia="ko-KR"/>
        </w:rPr>
        <w:t>:</w:t>
      </w:r>
      <w:r w:rsidRPr="00664B6A">
        <w:rPr>
          <w:rFonts w:eastAsia="맑은 고딕"/>
          <w:b/>
          <w:bCs/>
          <w:lang w:val="en-US" w:eastAsia="ko-KR"/>
        </w:rPr>
        <w:tab/>
      </w:r>
      <w:r w:rsidRPr="00664B6A">
        <w:rPr>
          <w:rFonts w:eastAsia="맑은 고딕"/>
          <w:b/>
          <w:bCs/>
          <w:lang w:val="en-US" w:eastAsia="ko-KR"/>
        </w:rPr>
        <w:tab/>
        <w:t>From the RF requirements viewpoint, Rel-19 and Rel-20 LB CA via switching should share a common structure and philosophy.</w:t>
      </w:r>
    </w:p>
    <w:p w14:paraId="137214C9" w14:textId="5737964E" w:rsidR="008D4661" w:rsidRPr="00664B6A" w:rsidRDefault="00664B6A" w:rsidP="00CE1F0D">
      <w:pPr>
        <w:jc w:val="left"/>
        <w:rPr>
          <w:rFonts w:eastAsia="맑은 고딕"/>
          <w:b/>
          <w:bCs/>
          <w:lang w:val="en-US" w:eastAsia="ko-KR"/>
        </w:rPr>
      </w:pPr>
      <w:r w:rsidRPr="00664B6A">
        <w:rPr>
          <w:rFonts w:eastAsia="맑은 고딕"/>
          <w:b/>
          <w:bCs/>
          <w:lang w:val="en-US" w:eastAsia="ko-KR"/>
        </w:rPr>
        <w:t xml:space="preserve">Proposal </w:t>
      </w:r>
      <w:r w:rsidR="00095B17">
        <w:rPr>
          <w:rFonts w:eastAsia="맑은 고딕"/>
          <w:b/>
          <w:bCs/>
          <w:lang w:val="en-US" w:eastAsia="ko-KR"/>
        </w:rPr>
        <w:t>5</w:t>
      </w:r>
      <w:r w:rsidRPr="00664B6A">
        <w:rPr>
          <w:rFonts w:eastAsia="맑은 고딕"/>
          <w:b/>
          <w:bCs/>
          <w:lang w:val="en-US" w:eastAsia="ko-KR"/>
        </w:rPr>
        <w:t>:</w:t>
      </w:r>
      <w:r w:rsidRPr="00664B6A">
        <w:rPr>
          <w:rFonts w:eastAsia="맑은 고딕"/>
          <w:b/>
          <w:bCs/>
          <w:lang w:val="en-US" w:eastAsia="ko-KR"/>
        </w:rPr>
        <w:tab/>
      </w:r>
      <w:r w:rsidRPr="00664B6A">
        <w:rPr>
          <w:rFonts w:eastAsia="맑은 고딕"/>
          <w:b/>
          <w:bCs/>
          <w:lang w:val="en-US" w:eastAsia="ko-KR"/>
        </w:rPr>
        <w:tab/>
        <w:t>No fundamentally new class of RF requirement is considered necessary only for Rel-20 dual DL switching configurations to keep the specification consistent and manageable across releases, while providing sufficient flexibility to accommodate various UE architectures and deployment choices in the low-band region.</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110849B0" w14:textId="1FB9BEC6" w:rsidR="006071FE" w:rsidRDefault="001D0CD7" w:rsidP="00D701CE">
      <w:pPr>
        <w:jc w:val="left"/>
        <w:rPr>
          <w:rFonts w:eastAsiaTheme="minorEastAsia"/>
          <w:lang w:eastAsia="zh-CN"/>
        </w:rPr>
      </w:pPr>
      <w:r>
        <w:rPr>
          <w:rFonts w:eastAsia="맑은 고딕"/>
          <w:lang w:eastAsia="ko-KR"/>
        </w:rPr>
        <w:t xml:space="preserve">In this contribution, we provide our views focusing on UE RF aspects considering </w:t>
      </w:r>
      <w:r w:rsidR="006071FE">
        <w:rPr>
          <w:rFonts w:eastAsia="맑은 고딕"/>
          <w:lang w:eastAsia="ko-KR"/>
        </w:rPr>
        <w:t>what RAN4 had discussed so far</w:t>
      </w:r>
      <w:r>
        <w:rPr>
          <w:rFonts w:eastAsia="맑은 고딕"/>
          <w:lang w:eastAsia="ko-KR"/>
        </w:rPr>
        <w:t xml:space="preserve"> [</w:t>
      </w:r>
      <w:r w:rsidR="006071FE">
        <w:rPr>
          <w:rFonts w:eastAsia="맑은 고딕"/>
          <w:lang w:eastAsia="ko-KR"/>
        </w:rPr>
        <w:t>2</w:t>
      </w:r>
      <w:r>
        <w:rPr>
          <w:rFonts w:eastAsia="맑은 고딕"/>
          <w:lang w:eastAsia="ko-KR"/>
        </w:rPr>
        <w:t xml:space="preserve">]. </w:t>
      </w:r>
      <w:r w:rsidR="00D701CE">
        <w:rPr>
          <w:rFonts w:eastAsia="맑은 고딕"/>
          <w:lang w:eastAsia="ko-KR"/>
        </w:rPr>
        <w:t xml:space="preserve"> F</w:t>
      </w:r>
      <w:r w:rsidR="000F259D" w:rsidRPr="004D33B8">
        <w:rPr>
          <w:rFonts w:eastAsiaTheme="minorEastAsia"/>
          <w:lang w:eastAsia="zh-CN"/>
        </w:rPr>
        <w:t>ollowing observations and proposal</w:t>
      </w:r>
      <w:r w:rsidR="00D701CE">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6071FE" w:rsidRPr="00C52357">
        <w:rPr>
          <w:rFonts w:eastAsiaTheme="minorEastAsia"/>
          <w:lang w:eastAsia="zh-CN"/>
        </w:rPr>
        <w:t xml:space="preserve"> to be considered by this meeting.</w:t>
      </w:r>
    </w:p>
    <w:p w14:paraId="33D86B67" w14:textId="77777777" w:rsidR="00A168E1" w:rsidRDefault="00A168E1" w:rsidP="00D701CE">
      <w:pPr>
        <w:jc w:val="left"/>
        <w:rPr>
          <w:rFonts w:eastAsiaTheme="minorEastAsia"/>
          <w:lang w:eastAsia="zh-CN"/>
        </w:rPr>
      </w:pPr>
    </w:p>
    <w:p w14:paraId="34B877A6" w14:textId="23D2F538" w:rsidR="006071FE" w:rsidRPr="006071FE" w:rsidRDefault="006071FE" w:rsidP="00D701CE">
      <w:pPr>
        <w:jc w:val="left"/>
        <w:rPr>
          <w:rFonts w:eastAsiaTheme="minorEastAsia"/>
          <w:b/>
          <w:bCs/>
          <w:i/>
          <w:iCs/>
          <w:u w:val="single"/>
          <w:lang w:eastAsia="zh-CN"/>
        </w:rPr>
      </w:pPr>
      <w:r w:rsidRPr="006071FE">
        <w:rPr>
          <w:b/>
          <w:bCs/>
          <w:i/>
          <w:iCs/>
          <w:u w:val="single"/>
        </w:rPr>
        <w:t>UE reference architecture and RF front-end assumptions</w:t>
      </w:r>
    </w:p>
    <w:p w14:paraId="5B7ABD55" w14:textId="77777777" w:rsidR="006071FE" w:rsidRPr="008F1D67" w:rsidRDefault="006071FE" w:rsidP="006071FE">
      <w:pPr>
        <w:jc w:val="left"/>
        <w:rPr>
          <w:rFonts w:eastAsia="맑은 고딕"/>
          <w:b/>
          <w:bCs/>
          <w:lang w:val="en-US" w:eastAsia="ko-KR"/>
        </w:rPr>
      </w:pPr>
      <w:r w:rsidRPr="008F1D67">
        <w:rPr>
          <w:rFonts w:eastAsia="맑은 고딕" w:hint="eastAsia"/>
          <w:b/>
          <w:bCs/>
          <w:lang w:val="en-US" w:eastAsia="ko-KR"/>
        </w:rPr>
        <w:t>O</w:t>
      </w:r>
      <w:r w:rsidRPr="008F1D67">
        <w:rPr>
          <w:rFonts w:eastAsia="맑은 고딕"/>
          <w:b/>
          <w:bCs/>
          <w:lang w:val="en-US" w:eastAsia="ko-KR"/>
        </w:rPr>
        <w:t>bservation 1:</w:t>
      </w:r>
      <w:r w:rsidRPr="008F1D67">
        <w:rPr>
          <w:rFonts w:eastAsia="맑은 고딕"/>
          <w:b/>
          <w:bCs/>
          <w:lang w:val="en-US" w:eastAsia="ko-KR"/>
        </w:rPr>
        <w:tab/>
        <w:t>The agreed UE reference architecture is reasonable and provides implementation flexibility for specifying Rel-20 requirements.</w:t>
      </w:r>
    </w:p>
    <w:p w14:paraId="0EBE512E" w14:textId="77777777" w:rsidR="006071FE" w:rsidRPr="008F1D67" w:rsidRDefault="006071FE" w:rsidP="006071FE">
      <w:pPr>
        <w:jc w:val="left"/>
        <w:rPr>
          <w:rFonts w:eastAsia="맑은 고딕"/>
          <w:b/>
          <w:bCs/>
          <w:lang w:val="en-US" w:eastAsia="ko-KR"/>
        </w:rPr>
      </w:pPr>
      <w:r w:rsidRPr="008F1D67">
        <w:rPr>
          <w:rFonts w:eastAsia="맑은 고딕" w:hint="eastAsia"/>
          <w:b/>
          <w:bCs/>
          <w:lang w:val="en-US" w:eastAsia="ko-KR"/>
        </w:rPr>
        <w:t>O</w:t>
      </w:r>
      <w:r w:rsidRPr="008F1D67">
        <w:rPr>
          <w:rFonts w:eastAsia="맑은 고딕"/>
          <w:b/>
          <w:bCs/>
          <w:lang w:val="en-US" w:eastAsia="ko-KR"/>
        </w:rPr>
        <w:t>bservation 2:</w:t>
      </w:r>
      <w:r w:rsidRPr="008F1D67">
        <w:rPr>
          <w:rFonts w:eastAsia="맑은 고딕"/>
          <w:b/>
          <w:bCs/>
          <w:lang w:val="en-US" w:eastAsia="ko-KR"/>
        </w:rPr>
        <w:tab/>
      </w:r>
      <w:r>
        <w:rPr>
          <w:rFonts w:eastAsia="맑은 고딕"/>
          <w:b/>
          <w:bCs/>
          <w:lang w:val="en-US" w:eastAsia="ko-KR"/>
        </w:rPr>
        <w:t>T</w:t>
      </w:r>
      <w:r w:rsidRPr="008F1D67">
        <w:rPr>
          <w:rFonts w:eastAsia="맑은 고딕"/>
          <w:b/>
          <w:bCs/>
          <w:lang w:val="en-US" w:eastAsia="ko-KR"/>
        </w:rPr>
        <w:t>he main target of the Rel-20 WI remains UEs that cannot support conventional low-band DL CA yet can, by means of switching and reconfiguration of their low-band Rx chain, realize part of the DL CA benefit for selected FDD+SDL band pairs.</w:t>
      </w:r>
    </w:p>
    <w:p w14:paraId="363D0962" w14:textId="77777777" w:rsidR="006071FE" w:rsidRPr="00CE1F0D" w:rsidRDefault="006071FE" w:rsidP="006071FE">
      <w:pPr>
        <w:jc w:val="left"/>
        <w:rPr>
          <w:rFonts w:eastAsia="맑은 고딕"/>
          <w:b/>
          <w:bCs/>
          <w:lang w:val="en-US" w:eastAsia="ko-KR"/>
        </w:rPr>
      </w:pPr>
      <w:r w:rsidRPr="00CE1F0D">
        <w:rPr>
          <w:rFonts w:eastAsia="맑은 고딕" w:hint="eastAsia"/>
          <w:b/>
          <w:bCs/>
          <w:lang w:val="en-US" w:eastAsia="ko-KR"/>
        </w:rPr>
        <w:t>P</w:t>
      </w:r>
      <w:r w:rsidRPr="00CE1F0D">
        <w:rPr>
          <w:rFonts w:eastAsia="맑은 고딕"/>
          <w:b/>
          <w:bCs/>
          <w:lang w:val="en-US" w:eastAsia="ko-KR"/>
        </w:rPr>
        <w:t>roposal 1:</w:t>
      </w:r>
      <w:r w:rsidRPr="00CE1F0D">
        <w:rPr>
          <w:rFonts w:eastAsia="맑은 고딕"/>
          <w:b/>
          <w:bCs/>
          <w:lang w:val="en-US" w:eastAsia="ko-KR"/>
        </w:rPr>
        <w:tab/>
      </w:r>
      <w:r w:rsidRPr="00CE1F0D">
        <w:rPr>
          <w:rFonts w:eastAsia="맑은 고딕"/>
          <w:b/>
          <w:bCs/>
          <w:lang w:val="en-US" w:eastAsia="ko-KR"/>
        </w:rPr>
        <w:tab/>
        <w:t>The definition of “no-gap impact” based on the frequency separation between the carriers and the maximum aggregated CBW that a single low-band Rx chain is required to process should be applicable to both filter options.</w:t>
      </w:r>
    </w:p>
    <w:p w14:paraId="5E9DCCDE" w14:textId="1ADDCC58" w:rsidR="006071FE" w:rsidRDefault="006071FE" w:rsidP="006071FE">
      <w:pPr>
        <w:jc w:val="left"/>
        <w:rPr>
          <w:rFonts w:eastAsia="맑은 고딕"/>
          <w:b/>
          <w:bCs/>
          <w:lang w:val="en-US" w:eastAsia="ko-KR"/>
        </w:rPr>
      </w:pPr>
      <w:r w:rsidRPr="00CE1F0D">
        <w:rPr>
          <w:rFonts w:eastAsia="맑은 고딕" w:hint="eastAsia"/>
          <w:b/>
          <w:bCs/>
          <w:lang w:val="en-US" w:eastAsia="ko-KR"/>
        </w:rPr>
        <w:t>P</w:t>
      </w:r>
      <w:r w:rsidRPr="00CE1F0D">
        <w:rPr>
          <w:rFonts w:eastAsia="맑은 고딕"/>
          <w:b/>
          <w:bCs/>
          <w:lang w:val="en-US" w:eastAsia="ko-KR"/>
        </w:rPr>
        <w:t>roposal 2:</w:t>
      </w:r>
      <w:r w:rsidRPr="00CE1F0D">
        <w:rPr>
          <w:rFonts w:eastAsia="맑은 고딕"/>
          <w:b/>
          <w:bCs/>
          <w:lang w:val="en-US" w:eastAsia="ko-KR"/>
        </w:rPr>
        <w:tab/>
      </w:r>
      <w:r w:rsidRPr="00CE1F0D">
        <w:rPr>
          <w:rFonts w:eastAsia="맑은 고딕"/>
          <w:b/>
          <w:bCs/>
          <w:lang w:val="en-US" w:eastAsia="ko-KR"/>
        </w:rPr>
        <w:tab/>
        <w:t>RAN4 should define a unified set of RF requirements that does not depend on a single, rigid filter realization</w:t>
      </w:r>
    </w:p>
    <w:p w14:paraId="49F5134D" w14:textId="77777777" w:rsidR="006071FE" w:rsidRDefault="006071FE" w:rsidP="006071FE">
      <w:pPr>
        <w:jc w:val="left"/>
        <w:rPr>
          <w:rFonts w:eastAsia="맑은 고딕"/>
          <w:b/>
          <w:bCs/>
          <w:lang w:val="en-US" w:eastAsia="ko-KR"/>
        </w:rPr>
      </w:pPr>
    </w:p>
    <w:p w14:paraId="259C3DAD" w14:textId="61FC80F0" w:rsidR="006071FE" w:rsidRPr="006071FE" w:rsidRDefault="006071FE" w:rsidP="006071FE">
      <w:pPr>
        <w:jc w:val="left"/>
        <w:rPr>
          <w:rFonts w:eastAsiaTheme="minorEastAsia"/>
          <w:b/>
          <w:bCs/>
          <w:i/>
          <w:iCs/>
          <w:u w:val="single"/>
          <w:lang w:eastAsia="zh-CN"/>
        </w:rPr>
      </w:pPr>
      <w:r w:rsidRPr="006071FE">
        <w:rPr>
          <w:b/>
          <w:bCs/>
          <w:i/>
          <w:iCs/>
          <w:u w:val="single"/>
        </w:rPr>
        <w:t>Impact on UE receiver requirements</w:t>
      </w:r>
    </w:p>
    <w:p w14:paraId="66C93970" w14:textId="77777777" w:rsidR="006071FE" w:rsidRDefault="006071FE" w:rsidP="006071FE">
      <w:pPr>
        <w:jc w:val="left"/>
        <w:rPr>
          <w:rFonts w:eastAsia="맑은 고딕"/>
          <w:b/>
          <w:bCs/>
          <w:lang w:val="en-US" w:eastAsia="ko-KR"/>
        </w:rPr>
      </w:pPr>
      <w:r w:rsidRPr="00C0408F">
        <w:rPr>
          <w:rFonts w:eastAsia="맑은 고딕"/>
          <w:b/>
          <w:bCs/>
          <w:lang w:val="en-US" w:eastAsia="ko-KR"/>
        </w:rPr>
        <w:t xml:space="preserve">Observation </w:t>
      </w:r>
      <w:r>
        <w:rPr>
          <w:rFonts w:eastAsia="맑은 고딕"/>
          <w:b/>
          <w:bCs/>
          <w:lang w:val="en-US" w:eastAsia="ko-KR"/>
        </w:rPr>
        <w:t>3</w:t>
      </w:r>
      <w:r w:rsidRPr="00C0408F">
        <w:rPr>
          <w:rFonts w:eastAsia="맑은 고딕"/>
          <w:b/>
          <w:bCs/>
          <w:lang w:val="en-US" w:eastAsia="ko-KR"/>
        </w:rPr>
        <w:t>:</w:t>
      </w:r>
      <w:r w:rsidRPr="00C0408F">
        <w:rPr>
          <w:rFonts w:eastAsia="맑은 고딕"/>
          <w:b/>
          <w:bCs/>
          <w:lang w:val="en-US" w:eastAsia="ko-KR"/>
        </w:rPr>
        <w:tab/>
        <w:t>From an implementation perspective, th</w:t>
      </w:r>
      <w:r>
        <w:rPr>
          <w:rFonts w:eastAsia="맑은 고딕"/>
          <w:b/>
          <w:bCs/>
          <w:lang w:val="en-US" w:eastAsia="ko-KR"/>
        </w:rPr>
        <w:t>e</w:t>
      </w:r>
      <w:r w:rsidRPr="00C0408F">
        <w:rPr>
          <w:rFonts w:eastAsia="맑은 고딕"/>
          <w:b/>
          <w:bCs/>
          <w:lang w:val="en-US" w:eastAsia="ko-KR"/>
        </w:rPr>
        <w:t xml:space="preserve"> extended span could in principle lead to some performance degradation compared to the single-carrier case, depending on the exact filter realization and the aggregated CBW that needs to be processed.</w:t>
      </w:r>
    </w:p>
    <w:p w14:paraId="50AD60E4" w14:textId="77777777" w:rsidR="006071FE" w:rsidRPr="00C0408F" w:rsidRDefault="006071FE" w:rsidP="006071FE">
      <w:pPr>
        <w:jc w:val="left"/>
        <w:rPr>
          <w:rFonts w:eastAsia="맑은 고딕"/>
          <w:b/>
          <w:bCs/>
          <w:lang w:val="en-US" w:eastAsia="ko-KR"/>
        </w:rPr>
      </w:pPr>
      <w:r>
        <w:rPr>
          <w:rFonts w:eastAsia="맑은 고딕"/>
          <w:b/>
          <w:bCs/>
          <w:lang w:val="en-US" w:eastAsia="ko-KR"/>
        </w:rPr>
        <w:t>Observation 4:</w:t>
      </w:r>
      <w:r>
        <w:rPr>
          <w:rFonts w:eastAsia="맑은 고딕"/>
          <w:b/>
          <w:bCs/>
          <w:lang w:val="en-US" w:eastAsia="ko-KR"/>
        </w:rPr>
        <w:tab/>
        <w:t>T</w:t>
      </w:r>
      <w:r w:rsidRPr="00C0408F">
        <w:rPr>
          <w:rFonts w:eastAsia="맑은 고딕"/>
          <w:b/>
          <w:bCs/>
          <w:lang w:val="en-US" w:eastAsia="ko-KR"/>
        </w:rPr>
        <w:t>he existing low-band UE Rx requirements can still be reused without any relaxation, provided that the aggregated CBW and the frequency separation between the carriers are kept within reasonable bounds under the “no-gap impact” condition.</w:t>
      </w:r>
    </w:p>
    <w:p w14:paraId="266AF78D" w14:textId="7B20D84A" w:rsidR="006071FE" w:rsidRDefault="006071FE" w:rsidP="006071FE">
      <w:pPr>
        <w:jc w:val="left"/>
        <w:rPr>
          <w:rFonts w:eastAsia="맑은 고딕"/>
          <w:b/>
          <w:bCs/>
          <w:lang w:val="en-US" w:eastAsia="ko-KR"/>
        </w:rPr>
      </w:pPr>
      <w:r w:rsidRPr="00177CE8">
        <w:rPr>
          <w:rFonts w:eastAsia="맑은 고딕" w:hint="eastAsia"/>
          <w:b/>
          <w:bCs/>
          <w:lang w:val="en-US" w:eastAsia="ko-KR"/>
        </w:rPr>
        <w:t>P</w:t>
      </w:r>
      <w:r w:rsidRPr="00177CE8">
        <w:rPr>
          <w:rFonts w:eastAsia="맑은 고딕"/>
          <w:b/>
          <w:bCs/>
          <w:lang w:val="en-US" w:eastAsia="ko-KR"/>
        </w:rPr>
        <w:t xml:space="preserve">roposal </w:t>
      </w:r>
      <w:r>
        <w:rPr>
          <w:rFonts w:eastAsia="맑은 고딕"/>
          <w:b/>
          <w:bCs/>
          <w:lang w:val="en-US" w:eastAsia="ko-KR"/>
        </w:rPr>
        <w:t>3</w:t>
      </w:r>
      <w:r w:rsidRPr="00177CE8">
        <w:rPr>
          <w:rFonts w:eastAsia="맑은 고딕"/>
          <w:b/>
          <w:bCs/>
          <w:lang w:val="en-US" w:eastAsia="ko-KR"/>
        </w:rPr>
        <w:t>:</w:t>
      </w:r>
      <w:r w:rsidRPr="00177CE8">
        <w:rPr>
          <w:rFonts w:eastAsia="맑은 고딕"/>
          <w:b/>
          <w:bCs/>
          <w:lang w:val="en-US" w:eastAsia="ko-KR"/>
        </w:rPr>
        <w:tab/>
      </w:r>
      <w:r w:rsidRPr="00177CE8">
        <w:rPr>
          <w:rFonts w:eastAsia="맑은 고딕"/>
          <w:b/>
          <w:bCs/>
          <w:lang w:val="en-US" w:eastAsia="ko-KR"/>
        </w:rPr>
        <w:tab/>
        <w:t>It is recommended to introduce a maximum allowable separation and/or maximum aggregated channel bandwidth ensuring all existing single-carrier Rx requirements even in the dual-DL switching configuration, without introducing new numeric requirements or complex inter-band coupling terms for dual-DL relaxations.</w:t>
      </w:r>
    </w:p>
    <w:p w14:paraId="361691A2" w14:textId="77777777" w:rsidR="006071FE" w:rsidRDefault="006071FE" w:rsidP="006071FE">
      <w:pPr>
        <w:jc w:val="left"/>
        <w:rPr>
          <w:rFonts w:eastAsia="맑은 고딕"/>
          <w:b/>
          <w:bCs/>
          <w:lang w:val="en-US" w:eastAsia="ko-KR"/>
        </w:rPr>
      </w:pPr>
    </w:p>
    <w:p w14:paraId="75F6EC03" w14:textId="77044D92" w:rsidR="006071FE" w:rsidRPr="006071FE" w:rsidRDefault="006071FE" w:rsidP="006071FE">
      <w:pPr>
        <w:jc w:val="left"/>
        <w:rPr>
          <w:rFonts w:eastAsiaTheme="minorEastAsia"/>
          <w:b/>
          <w:bCs/>
          <w:i/>
          <w:iCs/>
          <w:u w:val="single"/>
          <w:lang w:eastAsia="zh-CN"/>
        </w:rPr>
      </w:pPr>
      <w:r w:rsidRPr="006071FE">
        <w:rPr>
          <w:b/>
          <w:bCs/>
          <w:i/>
          <w:iCs/>
          <w:u w:val="single"/>
        </w:rPr>
        <w:t>Relation to Rel-19 LB CA via switching</w:t>
      </w:r>
    </w:p>
    <w:p w14:paraId="70A7A533" w14:textId="77777777" w:rsidR="006071FE" w:rsidRPr="00664B6A" w:rsidRDefault="006071FE" w:rsidP="006071FE">
      <w:pPr>
        <w:jc w:val="left"/>
        <w:rPr>
          <w:rFonts w:eastAsia="맑은 고딕"/>
          <w:b/>
          <w:bCs/>
          <w:lang w:val="en-US" w:eastAsia="ko-KR"/>
        </w:rPr>
      </w:pPr>
      <w:r w:rsidRPr="00664B6A">
        <w:rPr>
          <w:rFonts w:eastAsia="맑은 고딕"/>
          <w:b/>
          <w:bCs/>
          <w:lang w:val="en-US" w:eastAsia="ko-KR"/>
        </w:rPr>
        <w:t xml:space="preserve">Proposal </w:t>
      </w:r>
      <w:r>
        <w:rPr>
          <w:rFonts w:eastAsia="맑은 고딕"/>
          <w:b/>
          <w:bCs/>
          <w:lang w:val="en-US" w:eastAsia="ko-KR"/>
        </w:rPr>
        <w:t>4</w:t>
      </w:r>
      <w:r w:rsidRPr="00664B6A">
        <w:rPr>
          <w:rFonts w:eastAsia="맑은 고딕"/>
          <w:b/>
          <w:bCs/>
          <w:lang w:val="en-US" w:eastAsia="ko-KR"/>
        </w:rPr>
        <w:t>:</w:t>
      </w:r>
      <w:r w:rsidRPr="00664B6A">
        <w:rPr>
          <w:rFonts w:eastAsia="맑은 고딕"/>
          <w:b/>
          <w:bCs/>
          <w:lang w:val="en-US" w:eastAsia="ko-KR"/>
        </w:rPr>
        <w:tab/>
      </w:r>
      <w:r w:rsidRPr="00664B6A">
        <w:rPr>
          <w:rFonts w:eastAsia="맑은 고딕"/>
          <w:b/>
          <w:bCs/>
          <w:lang w:val="en-US" w:eastAsia="ko-KR"/>
        </w:rPr>
        <w:tab/>
        <w:t>From the RF requirements viewpoint, Rel-19 and Rel-20 LB CA via switching should share a common structure and philosophy.</w:t>
      </w:r>
    </w:p>
    <w:p w14:paraId="6A799295" w14:textId="77777777" w:rsidR="006071FE" w:rsidRPr="00664B6A" w:rsidRDefault="006071FE" w:rsidP="006071FE">
      <w:pPr>
        <w:jc w:val="left"/>
        <w:rPr>
          <w:rFonts w:eastAsia="맑은 고딕"/>
          <w:b/>
          <w:bCs/>
          <w:lang w:val="en-US" w:eastAsia="ko-KR"/>
        </w:rPr>
      </w:pPr>
      <w:r w:rsidRPr="00664B6A">
        <w:rPr>
          <w:rFonts w:eastAsia="맑은 고딕"/>
          <w:b/>
          <w:bCs/>
          <w:lang w:val="en-US" w:eastAsia="ko-KR"/>
        </w:rPr>
        <w:t xml:space="preserve">Proposal </w:t>
      </w:r>
      <w:r>
        <w:rPr>
          <w:rFonts w:eastAsia="맑은 고딕"/>
          <w:b/>
          <w:bCs/>
          <w:lang w:val="en-US" w:eastAsia="ko-KR"/>
        </w:rPr>
        <w:t>5</w:t>
      </w:r>
      <w:r w:rsidRPr="00664B6A">
        <w:rPr>
          <w:rFonts w:eastAsia="맑은 고딕"/>
          <w:b/>
          <w:bCs/>
          <w:lang w:val="en-US" w:eastAsia="ko-KR"/>
        </w:rPr>
        <w:t>:</w:t>
      </w:r>
      <w:r w:rsidRPr="00664B6A">
        <w:rPr>
          <w:rFonts w:eastAsia="맑은 고딕"/>
          <w:b/>
          <w:bCs/>
          <w:lang w:val="en-US" w:eastAsia="ko-KR"/>
        </w:rPr>
        <w:tab/>
      </w:r>
      <w:r w:rsidRPr="00664B6A">
        <w:rPr>
          <w:rFonts w:eastAsia="맑은 고딕"/>
          <w:b/>
          <w:bCs/>
          <w:lang w:val="en-US" w:eastAsia="ko-KR"/>
        </w:rPr>
        <w:tab/>
        <w:t>No fundamentally new class of RF requirement is considered necessary only for Rel-20 dual DL switching configurations to keep the specification consistent and manageable across releases, while providing sufficient flexibility to accommodate various UE architectures and deployment choices in the low-band region.</w:t>
      </w:r>
    </w:p>
    <w:p w14:paraId="1586C041" w14:textId="5C7FB5E9" w:rsidR="009B37B2" w:rsidRDefault="00825D14">
      <w:pPr>
        <w:pStyle w:val="1"/>
        <w:rPr>
          <w:lang w:val="en-US" w:eastAsia="ja-JP"/>
        </w:rPr>
      </w:pPr>
      <w:r>
        <w:rPr>
          <w:lang w:val="en-US" w:eastAsia="ja-JP"/>
        </w:rPr>
        <w:lastRenderedPageBreak/>
        <w:t>Re</w:t>
      </w:r>
      <w:r w:rsidR="000C758B">
        <w:rPr>
          <w:lang w:val="en-US" w:eastAsia="ja-JP"/>
        </w:rPr>
        <w:t>ference</w:t>
      </w:r>
    </w:p>
    <w:p w14:paraId="364E6BB7" w14:textId="4C21E8B4" w:rsidR="00EB47C4" w:rsidRDefault="000F259D" w:rsidP="001D0CD7">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B31F3E">
        <w:rPr>
          <w:lang w:val="en-US" w:eastAsia="zh-CN"/>
        </w:rPr>
        <w:t>RP-252953</w:t>
      </w:r>
      <w:r w:rsidR="00B31F3E">
        <w:rPr>
          <w:lang w:val="en-US" w:eastAsia="zh-CN"/>
        </w:rPr>
        <w:tab/>
      </w:r>
      <w:r w:rsidR="00B31F3E" w:rsidRPr="00B31F3E">
        <w:rPr>
          <w:lang w:val="en-US" w:eastAsia="zh-CN"/>
        </w:rPr>
        <w:t>New WID on enhancement of low NR band carrier aggregation via switching</w:t>
      </w:r>
      <w:r w:rsidR="00B31F3E">
        <w:rPr>
          <w:lang w:val="en-US" w:eastAsia="zh-CN"/>
        </w:rPr>
        <w:tab/>
      </w:r>
      <w:r w:rsidR="00B31F3E">
        <w:rPr>
          <w:lang w:val="en-US" w:eastAsia="zh-CN"/>
        </w:rPr>
        <w:tab/>
        <w:t>RAN#109</w:t>
      </w:r>
    </w:p>
    <w:p w14:paraId="4BE91F33" w14:textId="10754CD1" w:rsidR="00B31F3E" w:rsidRDefault="00B31F3E" w:rsidP="001D0CD7">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2]</w:t>
      </w:r>
      <w:r>
        <w:rPr>
          <w:rFonts w:eastAsia="맑은 고딕"/>
          <w:lang w:val="en-US" w:eastAsia="ko-KR"/>
        </w:rPr>
        <w:tab/>
        <w:t>R4-25</w:t>
      </w:r>
      <w:r w:rsidR="006071FE">
        <w:rPr>
          <w:rFonts w:eastAsia="맑은 고딕"/>
          <w:lang w:val="en-US" w:eastAsia="ko-KR"/>
        </w:rPr>
        <w:t>15156</w:t>
      </w:r>
      <w:r>
        <w:rPr>
          <w:rFonts w:eastAsia="맑은 고딕"/>
          <w:lang w:val="en-US" w:eastAsia="ko-KR"/>
        </w:rPr>
        <w:tab/>
      </w:r>
      <w:r w:rsidR="006071FE" w:rsidRPr="006071FE">
        <w:rPr>
          <w:rFonts w:eastAsia="맑은 고딕"/>
          <w:lang w:val="en-US" w:eastAsia="ko-KR"/>
        </w:rPr>
        <w:t>Way Forward for [116bis][320] NR_low_band_CA_switching</w:t>
      </w:r>
      <w:r>
        <w:rPr>
          <w:rFonts w:eastAsia="맑은 고딕"/>
          <w:lang w:val="en-US" w:eastAsia="ko-KR"/>
        </w:rPr>
        <w:tab/>
      </w:r>
      <w:r>
        <w:rPr>
          <w:rFonts w:eastAsia="맑은 고딕"/>
          <w:lang w:val="en-US" w:eastAsia="ko-KR"/>
        </w:rPr>
        <w:tab/>
      </w:r>
      <w:r>
        <w:rPr>
          <w:rFonts w:eastAsia="맑은 고딕"/>
          <w:lang w:val="en-US" w:eastAsia="ko-KR"/>
        </w:rPr>
        <w:tab/>
      </w:r>
      <w:r w:rsidR="006071FE">
        <w:rPr>
          <w:rFonts w:eastAsia="맑은 고딕"/>
          <w:lang w:val="en-US" w:eastAsia="ko-KR"/>
        </w:rPr>
        <w:tab/>
      </w:r>
      <w:r w:rsidR="006071FE">
        <w:rPr>
          <w:rFonts w:eastAsia="맑은 고딕"/>
          <w:lang w:val="en-US" w:eastAsia="ko-KR"/>
        </w:rPr>
        <w:tab/>
      </w:r>
      <w:r w:rsidR="006071FE">
        <w:rPr>
          <w:rFonts w:eastAsia="맑은 고딕"/>
          <w:lang w:val="en-US" w:eastAsia="ko-KR"/>
        </w:rPr>
        <w:tab/>
      </w:r>
      <w:r>
        <w:rPr>
          <w:rFonts w:eastAsia="맑은 고딕"/>
          <w:lang w:val="en-US" w:eastAsia="ko-KR"/>
        </w:rPr>
        <w:t>RAN4#116</w:t>
      </w:r>
      <w:r w:rsidR="006071FE">
        <w:rPr>
          <w:rFonts w:eastAsia="맑은 고딕"/>
          <w:lang w:val="en-US" w:eastAsia="ko-KR"/>
        </w:rPr>
        <w:t>bis</w:t>
      </w:r>
    </w:p>
    <w:p w14:paraId="0BA14DA5" w14:textId="5EE99E81" w:rsidR="00AD588C" w:rsidRPr="00B31F3E" w:rsidRDefault="00AD588C" w:rsidP="001D0CD7">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3]</w:t>
      </w:r>
      <w:r>
        <w:rPr>
          <w:rFonts w:eastAsia="맑은 고딕"/>
          <w:lang w:val="en-US" w:eastAsia="ko-KR"/>
        </w:rPr>
        <w:tab/>
      </w:r>
      <w:r w:rsidR="006071FE" w:rsidRPr="006071FE">
        <w:rPr>
          <w:rFonts w:eastAsia="맑은 고딕"/>
          <w:lang w:val="en-US" w:eastAsia="ko-KR"/>
        </w:rPr>
        <w:t>R4-2513735</w:t>
      </w:r>
      <w:r>
        <w:rPr>
          <w:rFonts w:eastAsia="맑은 고딕"/>
          <w:lang w:val="en-US" w:eastAsia="ko-KR"/>
        </w:rPr>
        <w:tab/>
      </w:r>
      <w:r w:rsidR="006071FE" w:rsidRPr="006071FE">
        <w:rPr>
          <w:rFonts w:eastAsia="맑은 고딕"/>
          <w:lang w:val="en-US" w:eastAsia="ko-KR"/>
        </w:rPr>
        <w:t>Views on UE RF requirements for LB CA switching</w:t>
      </w:r>
      <w:r w:rsidR="006071FE">
        <w:rPr>
          <w:rFonts w:eastAsia="맑은 고딕"/>
          <w:lang w:val="en-US" w:eastAsia="ko-KR"/>
        </w:rPr>
        <w:tab/>
      </w:r>
      <w:r w:rsidR="006071FE">
        <w:rPr>
          <w:rFonts w:eastAsia="맑은 고딕"/>
          <w:lang w:val="en-US" w:eastAsia="ko-KR"/>
        </w:rPr>
        <w:tab/>
      </w:r>
      <w:r w:rsidR="006071FE">
        <w:rPr>
          <w:rFonts w:eastAsia="맑은 고딕"/>
          <w:lang w:val="en-US" w:eastAsia="ko-KR"/>
        </w:rPr>
        <w:tab/>
      </w:r>
      <w:r w:rsidR="006071FE">
        <w:rPr>
          <w:rFonts w:eastAsia="맑은 고딕"/>
          <w:lang w:val="en-US" w:eastAsia="ko-KR"/>
        </w:rPr>
        <w:tab/>
      </w:r>
      <w:r w:rsidR="006071FE">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lang w:val="en-US" w:eastAsia="ko-KR"/>
        </w:rPr>
        <w:tab/>
      </w:r>
      <w:r>
        <w:rPr>
          <w:rFonts w:eastAsia="맑은 고딕"/>
          <w:lang w:val="en-US" w:eastAsia="ko-KR"/>
        </w:rPr>
        <w:tab/>
        <w:t>RAN4#116</w:t>
      </w:r>
      <w:r w:rsidR="006071FE">
        <w:rPr>
          <w:rFonts w:eastAsia="맑은 고딕"/>
          <w:lang w:val="en-US" w:eastAsia="ko-KR"/>
        </w:rPr>
        <w:t>bis</w:t>
      </w:r>
    </w:p>
    <w:sectPr w:rsidR="00AD588C" w:rsidRPr="00B31F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1CC3" w14:textId="77777777" w:rsidR="00CE13DD" w:rsidRDefault="00CE13DD" w:rsidP="00FC2656">
      <w:pPr>
        <w:spacing w:after="0" w:line="240" w:lineRule="auto"/>
      </w:pPr>
      <w:r>
        <w:separator/>
      </w:r>
    </w:p>
  </w:endnote>
  <w:endnote w:type="continuationSeparator" w:id="0">
    <w:p w14:paraId="480CCE81" w14:textId="77777777" w:rsidR="00CE13DD" w:rsidRDefault="00CE13D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A0C9" w14:textId="77777777" w:rsidR="00CE13DD" w:rsidRDefault="00CE13DD" w:rsidP="00FC2656">
      <w:pPr>
        <w:spacing w:after="0" w:line="240" w:lineRule="auto"/>
      </w:pPr>
      <w:r>
        <w:separator/>
      </w:r>
    </w:p>
  </w:footnote>
  <w:footnote w:type="continuationSeparator" w:id="0">
    <w:p w14:paraId="41257E7D" w14:textId="77777777" w:rsidR="00CE13DD" w:rsidRDefault="00CE13D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F501F84"/>
    <w:multiLevelType w:val="hybridMultilevel"/>
    <w:tmpl w:val="90D83300"/>
    <w:lvl w:ilvl="0" w:tplc="554A5E2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C395E71"/>
    <w:multiLevelType w:val="hybridMultilevel"/>
    <w:tmpl w:val="53C8B160"/>
    <w:lvl w:ilvl="0" w:tplc="D98A2B0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3FF1D4D"/>
    <w:multiLevelType w:val="hybridMultilevel"/>
    <w:tmpl w:val="80B4F53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136602"/>
    <w:multiLevelType w:val="hybridMultilevel"/>
    <w:tmpl w:val="E7483E52"/>
    <w:lvl w:ilvl="0" w:tplc="403CA18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6601B46"/>
    <w:multiLevelType w:val="hybridMultilevel"/>
    <w:tmpl w:val="E722A144"/>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AB2423F"/>
    <w:multiLevelType w:val="hybridMultilevel"/>
    <w:tmpl w:val="651A009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1"/>
  </w:num>
  <w:num w:numId="3">
    <w:abstractNumId w:val="4"/>
  </w:num>
  <w:num w:numId="4">
    <w:abstractNumId w:val="7"/>
  </w:num>
  <w:num w:numId="5">
    <w:abstractNumId w:val="2"/>
  </w:num>
  <w:num w:numId="6">
    <w:abstractNumId w:val="8"/>
  </w:num>
  <w:num w:numId="7">
    <w:abstractNumId w:val="12"/>
  </w:num>
  <w:num w:numId="8">
    <w:abstractNumId w:val="6"/>
  </w:num>
  <w:num w:numId="9">
    <w:abstractNumId w:val="3"/>
  </w:num>
  <w:num w:numId="10">
    <w:abstractNumId w:val="10"/>
  </w:num>
  <w:num w:numId="11">
    <w:abstractNumId w:val="1"/>
  </w:num>
  <w:num w:numId="12">
    <w:abstractNumId w:val="0"/>
  </w:num>
  <w:num w:numId="13">
    <w:abstractNumId w:val="9"/>
  </w:num>
  <w:num w:numId="14">
    <w:abstractNumId w:val="13"/>
  </w:num>
  <w:num w:numId="1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6C"/>
    <w:rsid w:val="0000390D"/>
    <w:rsid w:val="00003AF1"/>
    <w:rsid w:val="00004165"/>
    <w:rsid w:val="000045B1"/>
    <w:rsid w:val="0000707D"/>
    <w:rsid w:val="00014BD4"/>
    <w:rsid w:val="0001661A"/>
    <w:rsid w:val="00017F05"/>
    <w:rsid w:val="0002013D"/>
    <w:rsid w:val="00020C56"/>
    <w:rsid w:val="00026ACC"/>
    <w:rsid w:val="00030B9D"/>
    <w:rsid w:val="0003171D"/>
    <w:rsid w:val="00031C1D"/>
    <w:rsid w:val="00032320"/>
    <w:rsid w:val="000354B4"/>
    <w:rsid w:val="00035C50"/>
    <w:rsid w:val="000457A1"/>
    <w:rsid w:val="00047C6A"/>
    <w:rsid w:val="00050001"/>
    <w:rsid w:val="000518D3"/>
    <w:rsid w:val="00052041"/>
    <w:rsid w:val="0005326A"/>
    <w:rsid w:val="00056590"/>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95B17"/>
    <w:rsid w:val="000A1830"/>
    <w:rsid w:val="000A1CBF"/>
    <w:rsid w:val="000A2533"/>
    <w:rsid w:val="000A3DE4"/>
    <w:rsid w:val="000A4121"/>
    <w:rsid w:val="000A4AA3"/>
    <w:rsid w:val="000A550E"/>
    <w:rsid w:val="000A7717"/>
    <w:rsid w:val="000A7CFE"/>
    <w:rsid w:val="000B0145"/>
    <w:rsid w:val="000B0960"/>
    <w:rsid w:val="000B1A55"/>
    <w:rsid w:val="000B1EDF"/>
    <w:rsid w:val="000B20BB"/>
    <w:rsid w:val="000B2EE5"/>
    <w:rsid w:val="000B2EF6"/>
    <w:rsid w:val="000B2FA6"/>
    <w:rsid w:val="000B4AA0"/>
    <w:rsid w:val="000B7353"/>
    <w:rsid w:val="000C0761"/>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606F"/>
    <w:rsid w:val="0012680B"/>
    <w:rsid w:val="00126F72"/>
    <w:rsid w:val="0013241B"/>
    <w:rsid w:val="00136D4C"/>
    <w:rsid w:val="00137D76"/>
    <w:rsid w:val="00142538"/>
    <w:rsid w:val="00142BB9"/>
    <w:rsid w:val="00144600"/>
    <w:rsid w:val="00144F96"/>
    <w:rsid w:val="00146B7B"/>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6160"/>
    <w:rsid w:val="001C6177"/>
    <w:rsid w:val="001D0363"/>
    <w:rsid w:val="001D0CD7"/>
    <w:rsid w:val="001D12B4"/>
    <w:rsid w:val="001D6441"/>
    <w:rsid w:val="001D7D94"/>
    <w:rsid w:val="001E0A28"/>
    <w:rsid w:val="001E4218"/>
    <w:rsid w:val="001E659F"/>
    <w:rsid w:val="001E724E"/>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60EC7"/>
    <w:rsid w:val="00261539"/>
    <w:rsid w:val="0026179F"/>
    <w:rsid w:val="00262F8E"/>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96405"/>
    <w:rsid w:val="002A02C7"/>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4C0E"/>
    <w:rsid w:val="0034550D"/>
    <w:rsid w:val="00352BE5"/>
    <w:rsid w:val="00355873"/>
    <w:rsid w:val="0035660F"/>
    <w:rsid w:val="00356D72"/>
    <w:rsid w:val="00357AAE"/>
    <w:rsid w:val="00357FE7"/>
    <w:rsid w:val="00360C0B"/>
    <w:rsid w:val="00362319"/>
    <w:rsid w:val="003628B9"/>
    <w:rsid w:val="003629A4"/>
    <w:rsid w:val="00362D8F"/>
    <w:rsid w:val="00365211"/>
    <w:rsid w:val="00367607"/>
    <w:rsid w:val="00367724"/>
    <w:rsid w:val="003710BA"/>
    <w:rsid w:val="003720F4"/>
    <w:rsid w:val="00373BB5"/>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2F2A"/>
    <w:rsid w:val="003D3A65"/>
    <w:rsid w:val="003D4215"/>
    <w:rsid w:val="003D4C47"/>
    <w:rsid w:val="003D6557"/>
    <w:rsid w:val="003D7719"/>
    <w:rsid w:val="003E1935"/>
    <w:rsid w:val="003E40EE"/>
    <w:rsid w:val="003E4D91"/>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17A32"/>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1309"/>
    <w:rsid w:val="00491504"/>
    <w:rsid w:val="00491E54"/>
    <w:rsid w:val="004923A6"/>
    <w:rsid w:val="00495E3B"/>
    <w:rsid w:val="004A1E6A"/>
    <w:rsid w:val="004A258E"/>
    <w:rsid w:val="004A37AC"/>
    <w:rsid w:val="004A495F"/>
    <w:rsid w:val="004A6111"/>
    <w:rsid w:val="004A7544"/>
    <w:rsid w:val="004B01AA"/>
    <w:rsid w:val="004B04C2"/>
    <w:rsid w:val="004B6B0F"/>
    <w:rsid w:val="004C0314"/>
    <w:rsid w:val="004C54E5"/>
    <w:rsid w:val="004C618A"/>
    <w:rsid w:val="004C6824"/>
    <w:rsid w:val="004C72D1"/>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573"/>
    <w:rsid w:val="00541F82"/>
    <w:rsid w:val="005433F1"/>
    <w:rsid w:val="0054348A"/>
    <w:rsid w:val="0054368B"/>
    <w:rsid w:val="005502E8"/>
    <w:rsid w:val="005515A3"/>
    <w:rsid w:val="00551D95"/>
    <w:rsid w:val="005534D2"/>
    <w:rsid w:val="00556B8E"/>
    <w:rsid w:val="00557354"/>
    <w:rsid w:val="00560F1D"/>
    <w:rsid w:val="0056171A"/>
    <w:rsid w:val="0056183D"/>
    <w:rsid w:val="00564A34"/>
    <w:rsid w:val="00570126"/>
    <w:rsid w:val="005701DF"/>
    <w:rsid w:val="0057029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20B"/>
    <w:rsid w:val="005A3BA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16E1"/>
    <w:rsid w:val="00602D27"/>
    <w:rsid w:val="006071FE"/>
    <w:rsid w:val="00607263"/>
    <w:rsid w:val="00607850"/>
    <w:rsid w:val="00612381"/>
    <w:rsid w:val="006140F8"/>
    <w:rsid w:val="006144A1"/>
    <w:rsid w:val="00615EBB"/>
    <w:rsid w:val="00616096"/>
    <w:rsid w:val="006160A2"/>
    <w:rsid w:val="00616E6F"/>
    <w:rsid w:val="00617509"/>
    <w:rsid w:val="0062292E"/>
    <w:rsid w:val="00624AD3"/>
    <w:rsid w:val="006253B6"/>
    <w:rsid w:val="00626EFE"/>
    <w:rsid w:val="006302AA"/>
    <w:rsid w:val="006318F2"/>
    <w:rsid w:val="006363BD"/>
    <w:rsid w:val="00636CDC"/>
    <w:rsid w:val="0064105D"/>
    <w:rsid w:val="006412DC"/>
    <w:rsid w:val="00642BC6"/>
    <w:rsid w:val="00644790"/>
    <w:rsid w:val="00645BEB"/>
    <w:rsid w:val="00646A73"/>
    <w:rsid w:val="006501AF"/>
    <w:rsid w:val="00650DDE"/>
    <w:rsid w:val="006536FC"/>
    <w:rsid w:val="00654046"/>
    <w:rsid w:val="00654165"/>
    <w:rsid w:val="00654872"/>
    <w:rsid w:val="00654D9F"/>
    <w:rsid w:val="00654E77"/>
    <w:rsid w:val="0065505B"/>
    <w:rsid w:val="00664B6A"/>
    <w:rsid w:val="006670AC"/>
    <w:rsid w:val="0067090B"/>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4193"/>
    <w:rsid w:val="006B605B"/>
    <w:rsid w:val="006B72C7"/>
    <w:rsid w:val="006B760B"/>
    <w:rsid w:val="006B7764"/>
    <w:rsid w:val="006C1C3B"/>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4AF1"/>
    <w:rsid w:val="006F7C0C"/>
    <w:rsid w:val="00700755"/>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637E0"/>
    <w:rsid w:val="00763C96"/>
    <w:rsid w:val="007642F9"/>
    <w:rsid w:val="007655D5"/>
    <w:rsid w:val="00772CCA"/>
    <w:rsid w:val="00773E4F"/>
    <w:rsid w:val="007763C1"/>
    <w:rsid w:val="00777E82"/>
    <w:rsid w:val="00781359"/>
    <w:rsid w:val="00785074"/>
    <w:rsid w:val="007856BC"/>
    <w:rsid w:val="00785B4D"/>
    <w:rsid w:val="00786921"/>
    <w:rsid w:val="007929F2"/>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42F7"/>
    <w:rsid w:val="007C5EF1"/>
    <w:rsid w:val="007C7BF5"/>
    <w:rsid w:val="007D126D"/>
    <w:rsid w:val="007D19B7"/>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6078"/>
    <w:rsid w:val="008177E3"/>
    <w:rsid w:val="00821369"/>
    <w:rsid w:val="008217D2"/>
    <w:rsid w:val="0082247C"/>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EE1"/>
    <w:rsid w:val="008923C6"/>
    <w:rsid w:val="00893987"/>
    <w:rsid w:val="0089572A"/>
    <w:rsid w:val="008961FC"/>
    <w:rsid w:val="008963EF"/>
    <w:rsid w:val="0089688E"/>
    <w:rsid w:val="00897A91"/>
    <w:rsid w:val="008A1033"/>
    <w:rsid w:val="008A1FBE"/>
    <w:rsid w:val="008A400D"/>
    <w:rsid w:val="008B014C"/>
    <w:rsid w:val="008B1F6A"/>
    <w:rsid w:val="008B27A2"/>
    <w:rsid w:val="008B3194"/>
    <w:rsid w:val="008B3F41"/>
    <w:rsid w:val="008B5AE7"/>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F1D67"/>
    <w:rsid w:val="008F4DD1"/>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17896"/>
    <w:rsid w:val="009207BA"/>
    <w:rsid w:val="009208A6"/>
    <w:rsid w:val="00920B66"/>
    <w:rsid w:val="0092133B"/>
    <w:rsid w:val="00923EDA"/>
    <w:rsid w:val="00924514"/>
    <w:rsid w:val="00924641"/>
    <w:rsid w:val="00927316"/>
    <w:rsid w:val="0092748E"/>
    <w:rsid w:val="00931301"/>
    <w:rsid w:val="0093133D"/>
    <w:rsid w:val="0093276D"/>
    <w:rsid w:val="00933D12"/>
    <w:rsid w:val="00933F8C"/>
    <w:rsid w:val="00934B01"/>
    <w:rsid w:val="00937065"/>
    <w:rsid w:val="0093771C"/>
    <w:rsid w:val="00937E8A"/>
    <w:rsid w:val="00940285"/>
    <w:rsid w:val="009415B0"/>
    <w:rsid w:val="009425FD"/>
    <w:rsid w:val="00943DE1"/>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97C85"/>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682"/>
    <w:rsid w:val="009C492F"/>
    <w:rsid w:val="009C5D14"/>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168E1"/>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F97"/>
    <w:rsid w:val="00A524CC"/>
    <w:rsid w:val="00A53B0A"/>
    <w:rsid w:val="00A54A3A"/>
    <w:rsid w:val="00A55398"/>
    <w:rsid w:val="00A55653"/>
    <w:rsid w:val="00A604A4"/>
    <w:rsid w:val="00A61B7D"/>
    <w:rsid w:val="00A61F4F"/>
    <w:rsid w:val="00A64176"/>
    <w:rsid w:val="00A6605B"/>
    <w:rsid w:val="00A66ADC"/>
    <w:rsid w:val="00A7147D"/>
    <w:rsid w:val="00A71744"/>
    <w:rsid w:val="00A75B20"/>
    <w:rsid w:val="00A81B15"/>
    <w:rsid w:val="00A81EB2"/>
    <w:rsid w:val="00A8264B"/>
    <w:rsid w:val="00A8326D"/>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CDA"/>
    <w:rsid w:val="00AC04D3"/>
    <w:rsid w:val="00AC27DB"/>
    <w:rsid w:val="00AC2F98"/>
    <w:rsid w:val="00AC6D6B"/>
    <w:rsid w:val="00AC720D"/>
    <w:rsid w:val="00AD10C1"/>
    <w:rsid w:val="00AD21B8"/>
    <w:rsid w:val="00AD48FC"/>
    <w:rsid w:val="00AD588C"/>
    <w:rsid w:val="00AD5E3F"/>
    <w:rsid w:val="00AD7736"/>
    <w:rsid w:val="00AE10CE"/>
    <w:rsid w:val="00AE3303"/>
    <w:rsid w:val="00AE6A1E"/>
    <w:rsid w:val="00AE70D4"/>
    <w:rsid w:val="00AE7868"/>
    <w:rsid w:val="00AF0407"/>
    <w:rsid w:val="00AF049B"/>
    <w:rsid w:val="00AF4D8B"/>
    <w:rsid w:val="00AF734D"/>
    <w:rsid w:val="00AF7607"/>
    <w:rsid w:val="00B067CA"/>
    <w:rsid w:val="00B078D0"/>
    <w:rsid w:val="00B07BF4"/>
    <w:rsid w:val="00B12B26"/>
    <w:rsid w:val="00B13420"/>
    <w:rsid w:val="00B140BE"/>
    <w:rsid w:val="00B16398"/>
    <w:rsid w:val="00B163F8"/>
    <w:rsid w:val="00B23A1D"/>
    <w:rsid w:val="00B23B40"/>
    <w:rsid w:val="00B2472D"/>
    <w:rsid w:val="00B247AB"/>
    <w:rsid w:val="00B24827"/>
    <w:rsid w:val="00B24CA0"/>
    <w:rsid w:val="00B2549F"/>
    <w:rsid w:val="00B30EA3"/>
    <w:rsid w:val="00B31F3E"/>
    <w:rsid w:val="00B31F6C"/>
    <w:rsid w:val="00B339F4"/>
    <w:rsid w:val="00B34011"/>
    <w:rsid w:val="00B405A3"/>
    <w:rsid w:val="00B40EB5"/>
    <w:rsid w:val="00B4108D"/>
    <w:rsid w:val="00B4161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1B29"/>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6404"/>
    <w:rsid w:val="00BD6E7F"/>
    <w:rsid w:val="00BE33AE"/>
    <w:rsid w:val="00BE4C6C"/>
    <w:rsid w:val="00BF046F"/>
    <w:rsid w:val="00BF1180"/>
    <w:rsid w:val="00BF65C8"/>
    <w:rsid w:val="00BF6A27"/>
    <w:rsid w:val="00C01D50"/>
    <w:rsid w:val="00C02FB0"/>
    <w:rsid w:val="00C0408F"/>
    <w:rsid w:val="00C056DC"/>
    <w:rsid w:val="00C072C4"/>
    <w:rsid w:val="00C07BA3"/>
    <w:rsid w:val="00C10CDA"/>
    <w:rsid w:val="00C1329B"/>
    <w:rsid w:val="00C13F5E"/>
    <w:rsid w:val="00C14E19"/>
    <w:rsid w:val="00C1572F"/>
    <w:rsid w:val="00C16428"/>
    <w:rsid w:val="00C21E29"/>
    <w:rsid w:val="00C23C73"/>
    <w:rsid w:val="00C24C05"/>
    <w:rsid w:val="00C24D2F"/>
    <w:rsid w:val="00C26222"/>
    <w:rsid w:val="00C26E2A"/>
    <w:rsid w:val="00C31283"/>
    <w:rsid w:val="00C33C48"/>
    <w:rsid w:val="00C340E5"/>
    <w:rsid w:val="00C35AA7"/>
    <w:rsid w:val="00C402FD"/>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7BC"/>
    <w:rsid w:val="00C77DD9"/>
    <w:rsid w:val="00C83BE6"/>
    <w:rsid w:val="00C83CC1"/>
    <w:rsid w:val="00C85354"/>
    <w:rsid w:val="00C855C0"/>
    <w:rsid w:val="00C86273"/>
    <w:rsid w:val="00C86ABA"/>
    <w:rsid w:val="00C86CB3"/>
    <w:rsid w:val="00C90B76"/>
    <w:rsid w:val="00C91D33"/>
    <w:rsid w:val="00C943F3"/>
    <w:rsid w:val="00C9493A"/>
    <w:rsid w:val="00C966E4"/>
    <w:rsid w:val="00C96F79"/>
    <w:rsid w:val="00CA08C6"/>
    <w:rsid w:val="00CA0A77"/>
    <w:rsid w:val="00CA20A8"/>
    <w:rsid w:val="00CA261F"/>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1CF"/>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3DD"/>
    <w:rsid w:val="00CE1718"/>
    <w:rsid w:val="00CE1F0D"/>
    <w:rsid w:val="00CF1EE9"/>
    <w:rsid w:val="00CF212D"/>
    <w:rsid w:val="00CF383C"/>
    <w:rsid w:val="00CF4156"/>
    <w:rsid w:val="00D0036C"/>
    <w:rsid w:val="00D03D00"/>
    <w:rsid w:val="00D05120"/>
    <w:rsid w:val="00D05C30"/>
    <w:rsid w:val="00D064E2"/>
    <w:rsid w:val="00D10052"/>
    <w:rsid w:val="00D11359"/>
    <w:rsid w:val="00D11510"/>
    <w:rsid w:val="00D17C7B"/>
    <w:rsid w:val="00D17FFB"/>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EA"/>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F5C"/>
    <w:rsid w:val="00DA7FEF"/>
    <w:rsid w:val="00DB054E"/>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4C55"/>
    <w:rsid w:val="00DF4EEC"/>
    <w:rsid w:val="00DF5026"/>
    <w:rsid w:val="00E0227D"/>
    <w:rsid w:val="00E04B84"/>
    <w:rsid w:val="00E05314"/>
    <w:rsid w:val="00E06466"/>
    <w:rsid w:val="00E06835"/>
    <w:rsid w:val="00E06888"/>
    <w:rsid w:val="00E06FDA"/>
    <w:rsid w:val="00E07819"/>
    <w:rsid w:val="00E11042"/>
    <w:rsid w:val="00E1123A"/>
    <w:rsid w:val="00E118E0"/>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A0E"/>
    <w:rsid w:val="00E94F54"/>
    <w:rsid w:val="00E97142"/>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70CE"/>
    <w:rsid w:val="00EE0669"/>
    <w:rsid w:val="00EE0CFB"/>
    <w:rsid w:val="00EE1080"/>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13F"/>
    <w:rsid w:val="00F42C20"/>
    <w:rsid w:val="00F43BB2"/>
    <w:rsid w:val="00F43E34"/>
    <w:rsid w:val="00F44B5F"/>
    <w:rsid w:val="00F4512A"/>
    <w:rsid w:val="00F470B2"/>
    <w:rsid w:val="00F5219F"/>
    <w:rsid w:val="00F53053"/>
    <w:rsid w:val="00F53FE2"/>
    <w:rsid w:val="00F555B8"/>
    <w:rsid w:val="00F575FF"/>
    <w:rsid w:val="00F60F8B"/>
    <w:rsid w:val="00F618EF"/>
    <w:rsid w:val="00F61DDD"/>
    <w:rsid w:val="00F62057"/>
    <w:rsid w:val="00F65582"/>
    <w:rsid w:val="00F66E75"/>
    <w:rsid w:val="00F67735"/>
    <w:rsid w:val="00F724BC"/>
    <w:rsid w:val="00F7257A"/>
    <w:rsid w:val="00F75708"/>
    <w:rsid w:val="00F77EB0"/>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1FCB"/>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落,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5</Pages>
  <Words>2029</Words>
  <Characters>11567</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5</cp:revision>
  <cp:lastPrinted>2019-04-25T01:09:00Z</cp:lastPrinted>
  <dcterms:created xsi:type="dcterms:W3CDTF">2025-11-07T01:26:00Z</dcterms:created>
  <dcterms:modified xsi:type="dcterms:W3CDTF">2025-11-07T15:11:00Z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05EFFFAC3ABB7CEE0F0893AC1B7EE5D0A1C5A70D1C4E4B445401A1BA2B0C538E89F3DB54EBEC87491DB11CFD810671030BADA7308C4A0357CCC651A61A43A495</vt:lpwstr>
  </property>
</Properties>
</file>